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49CC8">
      <w:pPr>
        <w:spacing w:line="640" w:lineRule="exact"/>
        <w:jc w:val="center"/>
        <w:rPr>
          <w:rFonts w:hint="eastAsia" w:ascii="方正小标宋简体" w:hAnsi="方正小标宋简体" w:eastAsia="方正小标宋简体" w:cs="方正小标宋简体"/>
          <w:b/>
          <w:sz w:val="44"/>
          <w:szCs w:val="44"/>
        </w:rPr>
      </w:pPr>
    </w:p>
    <w:p w14:paraId="26675D8A">
      <w:pPr>
        <w:spacing w:line="640" w:lineRule="exact"/>
        <w:jc w:val="center"/>
        <w:rPr>
          <w:rFonts w:hint="eastAsia" w:ascii="方正小标宋简体" w:hAnsi="方正小标宋简体" w:eastAsia="方正小标宋简体" w:cs="方正小标宋简体"/>
          <w:b/>
          <w:sz w:val="44"/>
          <w:szCs w:val="44"/>
        </w:rPr>
      </w:pPr>
    </w:p>
    <w:p w14:paraId="1635BCB1">
      <w:pPr>
        <w:spacing w:line="6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林芝市</w:t>
      </w:r>
      <w:r>
        <w:rPr>
          <w:rFonts w:hint="eastAsia" w:ascii="方正小标宋简体" w:hAnsi="方正小标宋简体" w:eastAsia="方正小标宋简体" w:cs="方正小标宋简体"/>
          <w:b/>
          <w:sz w:val="44"/>
          <w:szCs w:val="44"/>
          <w:lang w:eastAsia="zh-CN"/>
        </w:rPr>
        <w:t>市直</w:t>
      </w:r>
      <w:r>
        <w:rPr>
          <w:rFonts w:hint="eastAsia" w:ascii="方正小标宋简体" w:hAnsi="方正小标宋简体" w:eastAsia="方正小标宋简体" w:cs="方正小标宋简体"/>
          <w:b/>
          <w:sz w:val="44"/>
          <w:szCs w:val="44"/>
        </w:rPr>
        <w:t>卫生</w:t>
      </w:r>
      <w:r>
        <w:rPr>
          <w:rFonts w:hint="eastAsia" w:ascii="方正小标宋简体" w:hAnsi="方正小标宋简体" w:eastAsia="方正小标宋简体" w:cs="方正小标宋简体"/>
          <w:b/>
          <w:sz w:val="44"/>
          <w:szCs w:val="44"/>
          <w:lang w:eastAsia="zh-CN"/>
        </w:rPr>
        <w:t>健康系统</w:t>
      </w: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3</w:t>
      </w:r>
      <w:r>
        <w:rPr>
          <w:rFonts w:hint="eastAsia" w:ascii="方正小标宋简体" w:hAnsi="方正小标宋简体" w:eastAsia="方正小标宋简体" w:cs="方正小标宋简体"/>
          <w:b/>
          <w:sz w:val="44"/>
          <w:szCs w:val="44"/>
        </w:rPr>
        <w:t>年度部门</w:t>
      </w:r>
    </w:p>
    <w:p w14:paraId="0E099B24">
      <w:pPr>
        <w:spacing w:line="64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决算</w:t>
      </w:r>
      <w:r>
        <w:rPr>
          <w:rFonts w:hint="eastAsia" w:ascii="方正小标宋简体" w:hAnsi="方正小标宋简体" w:eastAsia="方正小标宋简体" w:cs="方正小标宋简体"/>
          <w:b/>
          <w:sz w:val="44"/>
          <w:szCs w:val="44"/>
          <w:lang w:eastAsia="zh-CN"/>
        </w:rPr>
        <w:t>汇总公开</w:t>
      </w:r>
    </w:p>
    <w:p w14:paraId="4751586A">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4DECC7F1">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624AF651">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1961BDA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57685EB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5140208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465C193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F18C86C">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BCDF7F0">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7DA8F18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1E5B8448">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264230D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6F7BC5F1">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7CB7D33A">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C1E45A4">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114C0A0">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228F114">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458C38A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2024年9月18日</w:t>
      </w:r>
    </w:p>
    <w:p w14:paraId="43BEDA5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44"/>
          <w:szCs w:val="44"/>
        </w:rPr>
      </w:pPr>
    </w:p>
    <w:p w14:paraId="6E38DA2D">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5E86A1ED">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6057BD62">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5422AC2C">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3B61824B">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林芝市市直卫生健康系统2023年部门决算汇总单位</w:t>
      </w:r>
    </w:p>
    <w:p w14:paraId="2EF1E065">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6039EA53">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1A09F40A">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21024931">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026825DA">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p>
    <w:p w14:paraId="440105F4">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林芝市卫生健康委员会</w:t>
      </w:r>
    </w:p>
    <w:p w14:paraId="27D34C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44"/>
          <w:szCs w:val="44"/>
          <w:lang w:val="en-US" w:eastAsia="zh-CN"/>
        </w:rPr>
      </w:pPr>
    </w:p>
    <w:p w14:paraId="0D2F45D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林芝市人民医院</w:t>
      </w:r>
    </w:p>
    <w:p w14:paraId="17235E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44"/>
          <w:szCs w:val="44"/>
          <w:lang w:val="en-US" w:eastAsia="zh-CN"/>
        </w:rPr>
      </w:pPr>
    </w:p>
    <w:p w14:paraId="24F60871">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林芝市藏医院</w:t>
      </w:r>
    </w:p>
    <w:p w14:paraId="11658D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44"/>
          <w:szCs w:val="44"/>
          <w:lang w:val="en-US" w:eastAsia="zh-CN"/>
        </w:rPr>
      </w:pPr>
    </w:p>
    <w:p w14:paraId="50EE9397">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林芝市疾病预防控制中心</w:t>
      </w:r>
    </w:p>
    <w:p w14:paraId="7309E6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44"/>
          <w:szCs w:val="44"/>
          <w:lang w:val="en-US" w:eastAsia="zh-CN"/>
        </w:rPr>
      </w:pPr>
    </w:p>
    <w:p w14:paraId="55E7390D">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林芝市妇幼保健院</w:t>
      </w:r>
    </w:p>
    <w:p w14:paraId="74A14F3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32"/>
          <w:szCs w:val="32"/>
          <w:lang w:val="en-US" w:eastAsia="zh-CN"/>
        </w:rPr>
      </w:pPr>
    </w:p>
    <w:p w14:paraId="7A65F58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44"/>
          <w:szCs w:val="44"/>
        </w:rPr>
      </w:pPr>
    </w:p>
    <w:p w14:paraId="6C296D7A">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6677171A">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089CA90F">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23838ABF">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lang w:val="en-US" w:eastAsia="zh-CN"/>
        </w:rPr>
        <w:t>林芝市卫生健康委员会</w:t>
      </w:r>
    </w:p>
    <w:p w14:paraId="57EF8BB5">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112785A9">
      <w:pPr>
        <w:pStyle w:val="4"/>
        <w:rPr>
          <w:rFonts w:hint="eastAsia"/>
        </w:rPr>
      </w:pPr>
    </w:p>
    <w:p w14:paraId="6E06D43E">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  录</w:t>
      </w:r>
    </w:p>
    <w:p w14:paraId="4E9716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rPr>
      </w:pPr>
    </w:p>
    <w:p w14:paraId="05A330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第一部分 林芝市卫生</w:t>
      </w:r>
      <w:r>
        <w:rPr>
          <w:rFonts w:hint="eastAsia" w:ascii="黑体" w:hAnsi="黑体" w:eastAsia="黑体" w:cs="黑体"/>
          <w:b/>
          <w:bCs/>
          <w:color w:val="000000"/>
          <w:sz w:val="32"/>
          <w:szCs w:val="32"/>
          <w:lang w:eastAsia="zh-CN"/>
        </w:rPr>
        <w:t>健康委员会</w:t>
      </w:r>
      <w:r>
        <w:rPr>
          <w:rFonts w:hint="eastAsia" w:ascii="黑体" w:hAnsi="黑体" w:eastAsia="黑体" w:cs="黑体"/>
          <w:b/>
          <w:bCs/>
          <w:color w:val="000000"/>
          <w:sz w:val="32"/>
          <w:szCs w:val="32"/>
        </w:rPr>
        <w:t>概况</w:t>
      </w:r>
    </w:p>
    <w:p w14:paraId="0174E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一、主要职能</w:t>
      </w:r>
    </w:p>
    <w:p w14:paraId="686AF9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二、部门单位构成</w:t>
      </w:r>
    </w:p>
    <w:p w14:paraId="4ECAF0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rPr>
        <w:t>第二部分 林芝市卫生</w:t>
      </w:r>
      <w:r>
        <w:rPr>
          <w:rFonts w:hint="eastAsia" w:ascii="黑体" w:hAnsi="黑体" w:eastAsia="黑体" w:cs="黑体"/>
          <w:b/>
          <w:bCs/>
          <w:color w:val="000000"/>
          <w:sz w:val="32"/>
          <w:szCs w:val="32"/>
          <w:lang w:eastAsia="zh-CN"/>
        </w:rPr>
        <w:t>健康委员会</w:t>
      </w:r>
      <w:r>
        <w:rPr>
          <w:rFonts w:hint="eastAsia" w:ascii="黑体" w:hAnsi="黑体" w:eastAsia="黑体" w:cs="黑体"/>
          <w:b/>
          <w:bCs/>
          <w:color w:val="000000"/>
          <w:sz w:val="32"/>
          <w:szCs w:val="32"/>
        </w:rPr>
        <w:t>202</w:t>
      </w:r>
      <w:r>
        <w:rPr>
          <w:rFonts w:hint="eastAsia" w:ascii="黑体" w:hAnsi="黑体" w:eastAsia="黑体" w:cs="黑体"/>
          <w:b/>
          <w:bCs/>
          <w:color w:val="000000"/>
          <w:sz w:val="32"/>
          <w:szCs w:val="32"/>
          <w:lang w:val="en-US" w:eastAsia="zh-CN"/>
        </w:rPr>
        <w:t>3</w:t>
      </w:r>
      <w:r>
        <w:rPr>
          <w:rFonts w:hint="eastAsia" w:ascii="黑体" w:hAnsi="黑体" w:eastAsia="黑体" w:cs="黑体"/>
          <w:b/>
          <w:bCs/>
          <w:color w:val="000000"/>
          <w:sz w:val="32"/>
          <w:szCs w:val="32"/>
        </w:rPr>
        <w:t>年度部门决算</w:t>
      </w:r>
      <w:r>
        <w:rPr>
          <w:rFonts w:hint="eastAsia" w:ascii="黑体" w:hAnsi="黑体" w:eastAsia="黑体" w:cs="黑体"/>
          <w:b/>
          <w:bCs/>
          <w:color w:val="000000"/>
          <w:sz w:val="32"/>
          <w:szCs w:val="32"/>
          <w:lang w:eastAsia="zh-CN"/>
        </w:rPr>
        <w:t>明细表</w:t>
      </w:r>
    </w:p>
    <w:p w14:paraId="7A4CB9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一、</w:t>
      </w:r>
      <w:r>
        <w:rPr>
          <w:rFonts w:hint="eastAsia" w:ascii="仿宋_GB2312" w:hAnsi="仿宋" w:eastAsia="仿宋_GB2312" w:cs="Times New Roman"/>
          <w:color w:val="000000"/>
          <w:sz w:val="32"/>
          <w:szCs w:val="32"/>
        </w:rPr>
        <w:t>收入支出决算总表</w:t>
      </w:r>
    </w:p>
    <w:p w14:paraId="3E183C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二、财政拨款收入支出决算总表</w:t>
      </w:r>
    </w:p>
    <w:p w14:paraId="3D2686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三、收入支出决算表</w:t>
      </w:r>
    </w:p>
    <w:p w14:paraId="3A217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四、收入决算表</w:t>
      </w:r>
    </w:p>
    <w:p w14:paraId="0F009C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五、支出决算表</w:t>
      </w:r>
    </w:p>
    <w:p w14:paraId="2C7FD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六、支出决算明细表</w:t>
      </w:r>
    </w:p>
    <w:p w14:paraId="1F093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七、基本支出决算明细表</w:t>
      </w:r>
    </w:p>
    <w:p w14:paraId="27998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八、项目支出决算明细表</w:t>
      </w:r>
    </w:p>
    <w:p w14:paraId="08641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九、经营支出决算明细表</w:t>
      </w:r>
    </w:p>
    <w:p w14:paraId="539EB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十、项目支出分项目收入支出决算表</w:t>
      </w:r>
    </w:p>
    <w:p w14:paraId="44BA39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十一、一般公共预算财政拨款收入支出决算表</w:t>
      </w:r>
    </w:p>
    <w:p w14:paraId="46A98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十二、一般公共预算财政拨款支出决算明细表</w:t>
      </w:r>
    </w:p>
    <w:p w14:paraId="5C45A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十三、一般公共预算财政拨款基本支出决算明细表</w:t>
      </w:r>
    </w:p>
    <w:p w14:paraId="51720A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十四、一般公共预算财政拨款项目支出决算明细表</w:t>
      </w:r>
    </w:p>
    <w:p w14:paraId="333C1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十五、政府性基金预算财政拨款收入支出决算表</w:t>
      </w:r>
    </w:p>
    <w:p w14:paraId="497CB9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十六、政府性基金预算财政拨款支出决算明细表</w:t>
      </w:r>
    </w:p>
    <w:p w14:paraId="1F3C23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十七、政府性基金预算财政拨款基本支出决算明细表</w:t>
      </w:r>
    </w:p>
    <w:p w14:paraId="422CEE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十八、政府性基金预算财政拨款项目支出决算明细表</w:t>
      </w:r>
    </w:p>
    <w:p w14:paraId="1237FD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十九、国有资本经营预算财政拨款收入支出决算表</w:t>
      </w:r>
    </w:p>
    <w:p w14:paraId="5218E1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二十、国有资本经营预算财政拨款支出决算明细表</w:t>
      </w:r>
    </w:p>
    <w:p w14:paraId="69F2A4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二十一、预算支出相关信息表</w:t>
      </w:r>
    </w:p>
    <w:p w14:paraId="61167D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二十二、基本数字表</w:t>
      </w:r>
    </w:p>
    <w:p w14:paraId="06E56E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二十三、机构运行信息表</w:t>
      </w:r>
    </w:p>
    <w:p w14:paraId="2F9F6F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二十四、非税收入征缴情况表</w:t>
      </w:r>
    </w:p>
    <w:p w14:paraId="693FCC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二十五、基本支出分项目收入支出情况表</w:t>
      </w:r>
    </w:p>
    <w:p w14:paraId="2F04F2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第三部分林芝市卫生健康委员会202</w:t>
      </w:r>
      <w:r>
        <w:rPr>
          <w:rFonts w:hint="eastAsia" w:ascii="黑体" w:hAnsi="黑体" w:eastAsia="黑体" w:cs="黑体"/>
          <w:b/>
          <w:bCs/>
          <w:color w:val="000000"/>
          <w:sz w:val="32"/>
          <w:szCs w:val="32"/>
          <w:lang w:val="en-US" w:eastAsia="zh-CN"/>
        </w:rPr>
        <w:t>3</w:t>
      </w:r>
      <w:r>
        <w:rPr>
          <w:rFonts w:hint="eastAsia" w:ascii="黑体" w:hAnsi="黑体" w:eastAsia="黑体" w:cs="黑体"/>
          <w:b/>
          <w:bCs/>
          <w:color w:val="000000"/>
          <w:sz w:val="32"/>
          <w:szCs w:val="32"/>
          <w:lang w:eastAsia="zh-CN"/>
        </w:rPr>
        <w:t>年度部门决算说明</w:t>
      </w:r>
    </w:p>
    <w:p w14:paraId="78FFA2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第四部分名词解释</w:t>
      </w:r>
    </w:p>
    <w:p w14:paraId="1149AAE4">
      <w:pPr>
        <w:pStyle w:val="4"/>
        <w:rPr>
          <w:rFonts w:hint="eastAsia" w:ascii="黑体" w:hAnsi="黑体" w:eastAsia="黑体" w:cs="黑体"/>
          <w:b/>
          <w:bCs/>
          <w:color w:val="000000"/>
          <w:sz w:val="32"/>
          <w:szCs w:val="32"/>
          <w:lang w:eastAsia="zh-CN"/>
        </w:rPr>
      </w:pPr>
    </w:p>
    <w:p w14:paraId="44B86BF1">
      <w:pPr>
        <w:rPr>
          <w:rFonts w:hint="eastAsia"/>
          <w:lang w:eastAsia="zh-CN"/>
        </w:rPr>
      </w:pPr>
    </w:p>
    <w:p w14:paraId="7753AC9B">
      <w:pPr>
        <w:pStyle w:val="4"/>
        <w:rPr>
          <w:rFonts w:hint="eastAsia"/>
          <w:lang w:eastAsia="zh-CN"/>
        </w:rPr>
      </w:pPr>
    </w:p>
    <w:p w14:paraId="0A0E2E33">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林芝市卫生</w:t>
      </w:r>
      <w:r>
        <w:rPr>
          <w:rFonts w:hint="eastAsia" w:ascii="方正小标宋简体" w:hAnsi="方正小标宋简体" w:eastAsia="方正小标宋简体" w:cs="方正小标宋简体"/>
          <w:b/>
          <w:bCs/>
          <w:color w:val="000000"/>
          <w:sz w:val="32"/>
          <w:szCs w:val="32"/>
          <w:lang w:eastAsia="zh-CN"/>
        </w:rPr>
        <w:t>健康委员会</w:t>
      </w:r>
      <w:r>
        <w:rPr>
          <w:rFonts w:hint="eastAsia" w:ascii="方正小标宋简体" w:hAnsi="方正小标宋简体" w:eastAsia="方正小标宋简体" w:cs="方正小标宋简体"/>
          <w:b/>
          <w:bCs/>
          <w:color w:val="000000"/>
          <w:sz w:val="32"/>
          <w:szCs w:val="32"/>
        </w:rPr>
        <w:t>概况</w:t>
      </w:r>
    </w:p>
    <w:p w14:paraId="0F4F7B02">
      <w:pPr>
        <w:pStyle w:val="4"/>
        <w:numPr>
          <w:ilvl w:val="0"/>
          <w:numId w:val="0"/>
        </w:numPr>
        <w:rPr>
          <w:rFonts w:hint="eastAsia"/>
        </w:rPr>
      </w:pPr>
    </w:p>
    <w:p w14:paraId="0CEDA025">
      <w:pPr>
        <w:snapToGrid w:val="0"/>
        <w:spacing w:line="520" w:lineRule="exact"/>
        <w:rPr>
          <w:rFonts w:hint="eastAsia" w:ascii="黑体" w:hAnsi="黑体" w:eastAsia="黑体" w:cs="黑体"/>
          <w:sz w:val="32"/>
          <w:szCs w:val="32"/>
        </w:rPr>
      </w:pPr>
      <w:r>
        <w:rPr>
          <w:rFonts w:hint="eastAsia" w:ascii="黑体" w:hAnsi="黑体" w:eastAsia="黑体" w:cs="黑体"/>
          <w:sz w:val="32"/>
          <w:szCs w:val="32"/>
        </w:rPr>
        <w:t>一、单位情况</w:t>
      </w:r>
    </w:p>
    <w:p w14:paraId="13C7AEC1">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（一）基本情况。</w:t>
      </w:r>
    </w:p>
    <w:p w14:paraId="352AEE63">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1．主要职能。</w:t>
      </w:r>
    </w:p>
    <w:p w14:paraId="67601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卫生、人口和计划生育工作的方针政策和法律法规，推进医药卫生体制改革，制定全市卫生、食品安全、药品、医疗器械相关方案，依法执行相关地方性法规和规章，依法执行有关标准和技术规范；拟订全地区人口发展规划草案，研究全市人口发展战略，提出统筹解决人口问题的目标和任务建议，研究提出人口与经济、社会、资源、环境协调可持续发展的政策建议。</w:t>
      </w:r>
    </w:p>
    <w:p w14:paraId="562A2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规划与协调全市卫生、人口和计划生育资源配置，制定全市卫生、人口计生和优生优育事业中长期发展规划、年度计划和事业发展规划以及专项建设规划并组织实施，指导区域卫生规划的拟订和实施。，对全市人口计生和优生优育规划执行情况进行监督和评估。</w:t>
      </w:r>
    </w:p>
    <w:p w14:paraId="7EE53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（3）负责建立全市基本药物制度和药物政策并组织实施。拟订市基本药物目录、采购、配送、使用的政策措施，提出市基本药物价格政策的建议。</w:t>
      </w:r>
    </w:p>
    <w:p w14:paraId="2B634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（4）制定并组织实施农牧区卫生工作规划和政策措施，负责农牧区医疗制度的综合管理。</w:t>
      </w:r>
    </w:p>
    <w:p w14:paraId="725B0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（5）制定并组织实施社区卫生、妇幼卫生工作规划和政策措施，规划并指导社区卫生服务体系建设，负责妇幼保健的综合管理和监督。</w:t>
      </w:r>
    </w:p>
    <w:p w14:paraId="0F54B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市疾病预防控制工作，制定实施地方病及其他重大疾病预防规划与策略，制定全市计划免疫工作规划及政策措施，协调有关部门对重大疾病实施预防与干预，提出发布法定报告传染病疫情信息的建议。</w:t>
      </w:r>
    </w:p>
    <w:p w14:paraId="6D9BD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（7）负责全市卫生应急工作，制定卫生应急预案和政策措施，负责突发公共卫生事件监测预警和风险评估，指导实施突发公共卫生事件预防控制与应急处置，提出发布突发公共卫生事件应急处置信息的建议。</w:t>
      </w:r>
    </w:p>
    <w:p w14:paraId="5E81B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（8）起草促进中医药、藏医药事业发展的法规草案和规章草案及相关政策，指导制定中医药、藏医药中长期发展规划并组织实施，加快发展藏医药事业。</w:t>
      </w:r>
    </w:p>
    <w:p w14:paraId="21522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（9）指导规范卫生行政执法工作，按照职责分工负责职业卫生、放射卫生、环境卫生和学校卫生的监督管理，负责公共场所和饮用水的卫生安全监督管理，依法开展传染病防治监督。</w:t>
      </w:r>
    </w:p>
    <w:p w14:paraId="1D267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（10）负责医疗机构(含中医院、民族医院)医疗服务的全行业监督管理，制定医疗机构医疗服务、技术、医疗质量、职业道德和采供血机构管理的政策、规范、标准，建立医疗机构医疗服务评价和监督体系。</w:t>
      </w:r>
    </w:p>
    <w:p w14:paraId="1B552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（11）制定医药卫生科技发展规划，组织实施市重点医药卫生科研攻关项目，参与制定继续医学教育发展规划，组织开展继续医学教育和毕业后医学教育工作。</w:t>
      </w:r>
    </w:p>
    <w:p w14:paraId="14779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指导卫生人才队伍建设，组织制定全市卫生人才发展规划，会同有关部门拟订卫生专业技术人员资格标准和聘任现范并组织实施；制定并组织实施人口和计划生育系统干部队伍教育培训规划，指导人口计生和优生优育公共服务网络体系建设。</w:t>
      </w:r>
    </w:p>
    <w:p w14:paraId="39874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起草全市人口计生和优生优育工作的地方性法规和规章草案并组织实施。负责协调推动有关部门、群众团体履行人口计生和优生优育工作相关职责，促进人口计生和优生优育方针政策在教育、卫生、文化、就业和社会保障等工作中的衔接配合。</w:t>
      </w:r>
    </w:p>
    <w:p w14:paraId="78A8D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（14）研究提出促进人口有序流运、合理分布的政策建议，制定流动人口计划生育服务管理工作规划，负责推动基层建立流动人口计划生育信息共享和公共服务工作机制。</w:t>
      </w:r>
    </w:p>
    <w:p w14:paraId="5F44B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（15）监测人口计生和优生优育发展动态，提出发布人口计生和优生优育安全预警预报建议，负责人口计生和优生优育的信息综合及信息化建设，参与市人口基础信息库建设。</w:t>
      </w:r>
    </w:p>
    <w:p w14:paraId="33530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组织实施人口计生和优生优育科学研究的总体规划，依法管理人口计生和优生优育技术服务工作，依法公布有关人口计生和优生优育科学研究、技术服务等重要信息，负责人口计生和优生优育统计、信息分析工作，研究和依法规范计划生育药具管理制度。</w:t>
      </w:r>
    </w:p>
    <w:p w14:paraId="0D5C2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（17）制定人口计生和优生优育宣传教育工作规划，组织开展人口计生和优生优育宣传教育工作。</w:t>
      </w:r>
    </w:p>
    <w:p w14:paraId="57CD2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（18）推动实施人口计生和优生优育工作的生殖健康促进计划，提高人口素质，协同有关部门降低孕产妇、婴儿死亡率和出生缺陷率。</w:t>
      </w:r>
    </w:p>
    <w:p w14:paraId="2E04D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（19）指导市卫生、人口和计划生育方面的对外交流合作与卫生、人口和计划生育国际援助有关工作。</w:t>
      </w:r>
    </w:p>
    <w:p w14:paraId="6CD37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（20）负责制定市干部保健工作规划并组织实施；负责市重要会议与重大活动的医疗卫生保障工作。</w:t>
      </w:r>
    </w:p>
    <w:p w14:paraId="3C0CA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（21）承担市爱国卫生运动委员会和市防治艾滋病工作委员会的具体工作。</w:t>
      </w:r>
    </w:p>
    <w:p w14:paraId="525BD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（22）负责管理药品监督管理局。</w:t>
      </w:r>
    </w:p>
    <w:p w14:paraId="76E79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（23）承办市委市政府交办的其他事项。</w:t>
      </w:r>
    </w:p>
    <w:p w14:paraId="4D9BD3F0">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2．机构情况，包括当年变动情况及原因。</w:t>
      </w:r>
    </w:p>
    <w:p w14:paraId="08F30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林芝市卫生健康委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会机关行政编制15名。其中：县级领导职数5名，内设机构科级领导职数10名；10个内设机构（正科级）。</w:t>
      </w:r>
    </w:p>
    <w:p w14:paraId="4124A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林芝市红十字会为副县级群团机构，副县级领导职数1名，内设机构科级领导职数1名（正科级），核定行政编制4名。</w:t>
      </w:r>
    </w:p>
    <w:p w14:paraId="2A9CD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林芝市卫生监督所核定领导职数2名，核定参公编制6名。</w:t>
      </w:r>
    </w:p>
    <w:p w14:paraId="0357E9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林芝市中心血站核定领导职数1名，核定事业编制10名（正科级）。</w:t>
      </w:r>
    </w:p>
    <w:p w14:paraId="57E8F5BD">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3．人员情况，包括当年变动情况及原因。</w:t>
      </w:r>
    </w:p>
    <w:p w14:paraId="39687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年初实有干部职工47人（行政人员26人，参照公务员法管理事业人员5人，非参公事业人员16人）。2023年行政人员2人退休，调整调入3人，事业人员2人退休，年末实有人数46人（行政人员27人，参照公务员法管理事业人员5人，非参公事业人员14人）。</w:t>
      </w:r>
    </w:p>
    <w:p w14:paraId="1DA88A65">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（二）当年取得的主要事业成效。</w:t>
      </w:r>
    </w:p>
    <w:p w14:paraId="21CA5F49">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1.2023年工作开展情况</w:t>
      </w:r>
    </w:p>
    <w:p w14:paraId="7D12104F">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（1）</w:t>
      </w:r>
      <w:r>
        <w:rPr>
          <w:rFonts w:hint="eastAsia" w:ascii="仿宋_GB2312" w:hAnsi="仿宋_GB2312" w:eastAsia="仿宋_GB2312" w:cs="仿宋_GB2312"/>
          <w:sz w:val="32"/>
          <w:szCs w:val="32"/>
        </w:rPr>
        <w:t>公共卫生防护网进一步牢固。积极落实“保健康、防重症、优服务”疫情防控工作要求，稳步推进健康教育、重点人群健康体检、妇幼保健、计划免疫等工作。主动加强病原体监测，及时掌握我市“变异株”感染情况，持续加强传染</w:t>
      </w:r>
      <w:r>
        <w:rPr>
          <w:rFonts w:hint="eastAsia" w:ascii="仿宋_GB2312" w:hAnsi="仿宋_GB2312" w:eastAsia="仿宋_GB2312" w:cs="仿宋_GB2312"/>
          <w:color w:val="000000" w:themeColor="text1"/>
          <w:sz w:val="32"/>
          <w:szCs w:val="32"/>
          <w14:textFill>
            <w14:solidFill>
              <w14:schemeClr w14:val="tx1"/>
            </w14:solidFill>
          </w14:textFill>
        </w:rPr>
        <w:t>病报告，挂牌成立了林芝市疾病预防控制局。全市504个村（居）实现公共卫生委员会设置全覆盖。组建基层巡回诊疗团队56个，选派医务人员1373名，妇女“两癌”筛查、13-14岁学生HPV疫苗接种、60岁以上老年人和中小学生流感疫苗接种如期完成。0-18岁儿童先心病累计筛查27334名，在知情自愿发现一例救治一例情况下，完成救治18名。林芝市大骨节病患者共计280人，完成27名患者、33次关节置换手术，药物治疗280人。在册严重精神障碍患者规范化管理率达83.79%。市、县（市、区）特困人员集中供养中心均与周边医疗机构签订医养服务签约协议。</w:t>
      </w:r>
    </w:p>
    <w:p w14:paraId="142B6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卫生服务水平进一步提升。首次组织藏医专家起草制定《林芝市藏医市级重点专科建设标准》。对米林市藏医院、朗县藏医院开展市级专科现场评估并批复。新增1个“一级甲等”藏医医院（米林市藏医医院）。市藏医院藏药制剂中仁青仁纳钦母丸、仁青然纳桑培丸已获得制剂批号并完成生产。林芝市第七届藏药材辨识大赛及首届藏医药技能竞赛、全市疾控机构知识技能竞赛、妇幼健康职业技能比赛成功举办。持续深化“组团式”医疗援藏和三级医院对口帮扶工作。推动市县乡三级远程医疗全覆盖，助力医联体、医共体建设，打造市级重点专科14个，正在推进6个自治区级重点专科和1个国家级重点专科建设。借助广东省人民医院心血管研究所专家力量，结合林芝区域优势，合力打造林芝市高原心血管病研究所。</w:t>
      </w:r>
    </w:p>
    <w:p w14:paraId="0B9A8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民生实事工程进一步落实。一是实施高海拔医疗机构供暖供氧工程。项目涉及工布江达县、波密县、察隅县、巴宜区、朗县11个高海拔医疗机构，项目总投资494万元，均完成项目建设。二是推进普惠性托育服务机构项目建设。目前已完成项目建设用地规划许可证办理及可行性研究报告批复，正在开展初步设计评审工作。三是配备村卫生室药品耗材。截止目前，489个村卫生室已达到不少于20种常用药品（含藏药）配备的标准，建立药品调换机制。</w:t>
      </w:r>
    </w:p>
    <w:p w14:paraId="6418E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红会人道主义助手职能进一步发挥。邀请自治区红十字会眼科专家赴墨脱县开展白内障免费救治活动，筛查186名眼疾患者，对30名符合白内障手术条件的患者进行了免费救治。前往墨脱县背崩乡西让村、地东村、乡幼儿园开展人道慰问、走访调研和捐赠活动等，对10户相对困难户发放10000元慰问金，对乡幼儿园捐赠价值6000元的书包、文具等学习用具。市红十字会医疗设备捐赠仪式在市人民医院举办，市委常委，政府副市长，市红十会会长玉珍出席，并向爱心企业颁发捐赠证书。现场签订价值316.1万元医疗设备捐赠协议书。</w:t>
      </w:r>
    </w:p>
    <w:p w14:paraId="44608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医药领域腐败问题集中整治扎实开展。成立以市委常委、政府副市长为领导小组组长的医药领域腐败问题集中整治工作领导小组，下设领导小组办公室，制定《林芝市医药领域腐败问题集中整治工作方案》，先后召开林芝市医药领域腐败问题集中整治工作部署会、推进会。累计开展专项集中整治学习22次，悬挂横幅8条，向群众发放宣传资料2040余份，科普短信5500条。及时向社会群众发布告知书，设立监督举报信箱，利用林芝发布、微林芝、林芝卫生等新媒体、公众平台向社会大众公布监督举报电话、信箱、邮箱等，为群众提供监督举报和反映问题的途径。明确群众监督举报受理（登记）流程，建立线索台账，严格实行销号管理。截至目前共接到3起投诉，均已处理回复。针对社会反映强烈，医药领域整治重点和突出问题进行全面清理自查。发现问题77项，其中波密县13条、工布江达县34条、墨脱县25条、察隅县3条、市人民医院2条。开展10次专项督导检查，梳理问题114条。</w:t>
      </w:r>
    </w:p>
    <w:p w14:paraId="03882740">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2.工作亮点</w:t>
      </w:r>
    </w:p>
    <w:p w14:paraId="58DE21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2023年，林芝市卫生健康委</w:t>
      </w:r>
      <w:r>
        <w:rPr>
          <w:rFonts w:hint="eastAsia" w:ascii="仿宋_GB2312" w:hAnsi="仿宋_GB2312" w:eastAsia="仿宋_GB2312" w:cs="仿宋_GB2312"/>
          <w:sz w:val="32"/>
          <w:szCs w:val="32"/>
          <w:lang w:eastAsia="zh-CN"/>
        </w:rPr>
        <w:t>员会</w:t>
      </w:r>
      <w:r>
        <w:rPr>
          <w:rFonts w:hint="eastAsia" w:ascii="仿宋_GB2312" w:hAnsi="仿宋_GB2312" w:eastAsia="仿宋_GB2312" w:cs="仿宋_GB2312"/>
          <w:sz w:val="32"/>
          <w:szCs w:val="32"/>
        </w:rPr>
        <w:t>锚定“四件大事”“四个确保”、聚力“四个创建”“四个走在前列”，坚持人民至上、生命至上，坚持稳中求进工作总基调，聚焦群众健康需求，推进健康林芝建设迈上新台阶。一是卫生应急能力建设进一步加强。投资700余万元，购置手术车、体检车、应急电源车等设备，组建市级医疗卫生应急救援队伍，提升医疗流动应急处置能力。投资350万元，结合军民融合、边远地区实际与高黎贡山工作要求，在察隅县建设中心血库，这是我市筹建的第一个县级中心血库。二是卫生行业管理思路进一步开拓。积极争取广东省卫生健康委支持，先后会同广东省卫生健康委、广东东莞市卫生健康局召开两次座谈会，商讨共建共管事宜，成立共建共管专班，东莞、林芝两市筹备组工作人员已到位，扎实推进林芝市公共卫生临床中心（传染病医院）共建共管工作。三是医药卫生体制改革进一步深化。为进一步加强组织领导，强化责任担当，10月20日，巴塔市长召开推进深化医药卫生体制改革、加强健康林芝建设推进会，会议肯定了近年来健康林芝建设和医改工作取得成效，并提出下一步工作思路；同时为深入贯彻落实巴塔市长的指示批示精神，进一步明确具有林芝特色的医改工作思路，统筹深化县域综合医改，12月10日-11日，玉珍常委在察隅县召开全市县域综合医改（医共体建设）现场会，与会人员一同观摩了“察隅县2023年军地联合卫勤演练”，从多角度、全流程了解和体验战地救护以及突发事件医疗卫生应急救治工作，为下一步工作理清了思路；本着不求高大上，只求符合实际需要，11月28日，为着力提升基层医疗卫生机构服务能力和水平，推进乡镇卫生院和村卫生室标准化建设，玉珍常委在朗县仲达镇召开全市样板乡镇卫生院、样板村卫生室创建工作现场会，向全市展示市级样板卫生院创建情况，并提出样板卫生院标准，通过推广典型经验，推动健康“守门人”能力提升，打牢基层医疗服务“网底”取得良好实效。林芝市第七届藏药材辨识大赛及首届藏医药技能竞赛、全市疾控机构知识技能竞赛、妇幼健康职业技能比赛成功举办。由市卫生健康委和自治区疾控中心主办的2023年林芝市重大突发公共卫生事件应急演练（包括新冠疫情）在林芝顺利完成。市红十字会首次对大峡谷、巴松措景区管理人员和相关工作人员开展应急救援培训，林芝市疾病预防控制中心在省级年度工作情况和疾控机构食品安全工作能力调查国家级排名全区第1位，全国排名第271位。林芝市疾病预防控制中心荣获西藏自治区蚊虫多样性特征及消除疟疾关键技术研究二等奖。四是林芝是全国32个健康影响评价评估制度建设试点地区之一，在全区率先制定出台《林芝市健康影响评价评估制度建设试点工作实施方案》，并首次对2个市级建设项目进行评估评价。波密县创建自治区卫生乡镇（县城）工作已通过自治区爱卫办初评。林芝市爱国卫生运动委员会办公室获全国“爱国卫生运动70周年先进集体”称号。2023年8月，林芝市是全区第一个、全国第三个通过国家爱卫办（国家卫生城镇评审管理办法2021版）暗访与复审现场评估的地市。五是做好国家重点项目-川藏铁路建设应急保障工作，与四川省雅安市疾病预防控制中心签订疾病预防控制合作协议，首次建立跨省疾病联防联控机制。六是关注社会心理健康，针对公安、中小学生等社会重点群体，联合市直机关工委、市教育局、西藏农牧学院，邀请广州医科大学专家举办12场心理知识宣讲活动，覆盖干部职工及大、中、小学生2500余人。</w:t>
      </w:r>
    </w:p>
    <w:p w14:paraId="594F65C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3、存在的困难问题及2024年工作要点</w:t>
      </w:r>
    </w:p>
    <w:p w14:paraId="4A0F4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尽管我们取得了一些成绩，但也要清醒地认识到，还存在着一些困难问题：一是服务供给能力不足。卫生专业技术人才分布不均衡，高学历、高层次专业人才紧缺；二是卫生健康保障不足。职业卫生、精神卫生、医疗卫生监督体系还有待加强，采供血体系未实现全覆盖，人口老龄化带来的医疗、护理、康复等不断增长的健康服务需求缺口较大；三是县域综合医改成效有待进一步提升等问题。我们要正视问题，不回避矛盾，认真加以解决。</w:t>
      </w:r>
    </w:p>
    <w:p w14:paraId="1AA50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们将扎实开展学习贯彻习近平新时代中国特色社会主义思想主题教育，以巡视巡察反馈意见为导向，聚焦市委、政府决策部署，围绕群众最关心、看得见、普遍受益的实事，立足政策导向、资源禀赋、区域优势等，开门问策、集思广益，广泛征求意见建议，同时积极与上级部门沟通衔接，找准与中央和自治区规划的契合点，全面推进健康林芝建设，持续深化医药卫生体制改革，健全公共卫生体系，促进藏医药传承创新，夯实卫生健康基础，奋力推进林芝卫生健康事业高质量发展。</w:t>
      </w:r>
    </w:p>
    <w:p w14:paraId="4B6BC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进健康林芝建设。大力推进爱国卫生运动，持续跟踪国家卫生城市后续评审。建成投用林芝市公共卫生临床中心（传染病医院），挂牌成立广东省（林芝高原）心血管研究所。修订并推行样板乡镇卫生院和村卫生室建设标准，巩固提升7县（市、区）14个样板乡镇卫生院和14个样板村卫生室建设成效。积极做好儿童先天性心脏病、大骨节病等疾病救治。在乡镇卫生院普及乙肝等快速筛查试剂并分配相应的检测任务，实现艾滋病检测乡镇卫生院全覆盖。以铁路、水电施工为重点，以放射卫生、精神卫生为基础，初步建立职业病防治体系。以雅下水电开发区为核心，联合广东省疾控、东莞市传染病医院力量，有组织地开展自然疫源性疾病谱调查。提升居民健康体检能力，切实可行的家庭医生签约服务（含养老）实践模式探索、经验总结并推广。持续提升藏医药服务能力，促进藏医药传承与发展。创建民族团结模范单位，开展医疗领域腐败集中整治。</w:t>
      </w:r>
    </w:p>
    <w:p w14:paraId="6000D7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深化医药卫生体制改革。积极探索具有林芝特色的医改思路，在总结提炼察隅县医药卫生体制工作经验的基础上，持续完善公立医疗机构绩效考核体系，力争在体制机制和医疗机构内部管理上取得新突破，在全市打造方向一致、各具特色、相互激励、共同进步的医改新局面。墨脱县人民医院争创“二级甲等”综合医院、其余县（市、区）人民医院启动创建工作，1至2个县藏医院争创一级民族医医院。加快推进“互联网+医疗健康”项目建设。加强医疗卫生人才队伍建设，加大全科医生、住院医师培养力度，纵深推进医疗人才组团式和三级医院对口帮扶工作，进一步明确“师带徒”任务目标，利用好领军人才、杰出青年人才库作用，按照政策要求逐步更新村医队伍。提升公共卫生应急能力。加强院前急救能力建设，县级医院全部实现五大中心，特别是卒中中心建设。以偏远及公路沿线卫生院和县级医疗机构为主，组建医疗卫生应急队伍，配备必要的车辆、人员、装备，力争50%的乡镇卫生院工作人员取得医疗应急救援基本能力培训合格证书。组织对市域内重点景区、机场、火车站、客运站、学校广泛开展卫生急救知识培训。建立完善全市临床用血保障体系，完成投资200万元的墨脱县、察隅县血库建设。</w:t>
      </w:r>
    </w:p>
    <w:p w14:paraId="2E6E41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办好卫生惠民民生实事。实施初高中学生水痘疫苗免费接种工作。加强城乡居民体检档案的管理应用，与家庭医生签约服务相结合，申请市财政经费支持，逐步为各县（市、区）配备一台综合健康体检车（年内配置2-3个）。建设市级普惠拖育机构，为婴幼儿家庭提供多元拖育服务。</w:t>
      </w:r>
    </w:p>
    <w:p w14:paraId="4E74767C">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（三）林芝市卫生健康委员会（2022年）部门决算单位构成</w:t>
      </w:r>
    </w:p>
    <w:p w14:paraId="41B93B5B">
      <w:pPr>
        <w:keepNext w:val="0"/>
        <w:keepLines w:val="0"/>
        <w:pageBreakBefore w:val="0"/>
        <w:kinsoku/>
        <w:wordWrap/>
        <w:overflowPunct/>
        <w:topLinePunct w:val="0"/>
        <w:autoSpaceDE/>
        <w:autoSpaceDN/>
        <w:bidi w:val="0"/>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林芝市卫生健康委员会2022年度决算公开包括以下单位数据：</w:t>
      </w:r>
    </w:p>
    <w:p w14:paraId="40BEA6D0">
      <w:pPr>
        <w:keepNext w:val="0"/>
        <w:keepLines w:val="0"/>
        <w:pageBreakBefore w:val="0"/>
        <w:kinsoku/>
        <w:wordWrap/>
        <w:overflowPunct/>
        <w:topLinePunct w:val="0"/>
        <w:autoSpaceDE/>
        <w:autoSpaceDN/>
        <w:bidi w:val="0"/>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（一）林芝市卫生健康委员会：</w:t>
      </w:r>
    </w:p>
    <w:p w14:paraId="71D0C74A">
      <w:pPr>
        <w:keepNext w:val="0"/>
        <w:keepLines w:val="0"/>
        <w:pageBreakBefore w:val="0"/>
        <w:kinsoku/>
        <w:wordWrap/>
        <w:overflowPunct/>
        <w:topLinePunct w:val="0"/>
        <w:autoSpaceDE/>
        <w:autoSpaceDN/>
        <w:bidi w:val="0"/>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（二）林芝市中心血站：</w:t>
      </w:r>
    </w:p>
    <w:p w14:paraId="2E1F73A0">
      <w:pPr>
        <w:pStyle w:val="4"/>
        <w:rPr>
          <w:rFonts w:hint="eastAsia"/>
        </w:rPr>
      </w:pPr>
    </w:p>
    <w:p w14:paraId="35A9220D">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eastAsia="zh-CN"/>
        </w:rPr>
        <w:t>林芝市卫生健康委员会202</w:t>
      </w:r>
      <w:r>
        <w:rPr>
          <w:rFonts w:hint="eastAsia" w:ascii="方正小标宋简体" w:hAnsi="方正小标宋简体" w:eastAsia="方正小标宋简体" w:cs="方正小标宋简体"/>
          <w:b/>
          <w:bCs/>
          <w:color w:val="000000"/>
          <w:sz w:val="32"/>
          <w:szCs w:val="32"/>
          <w:lang w:val="en-US" w:eastAsia="zh-CN"/>
        </w:rPr>
        <w:t>3</w:t>
      </w:r>
      <w:r>
        <w:rPr>
          <w:rFonts w:hint="eastAsia" w:ascii="方正小标宋简体" w:hAnsi="方正小标宋简体" w:eastAsia="方正小标宋简体" w:cs="方正小标宋简体"/>
          <w:b/>
          <w:bCs/>
          <w:color w:val="000000"/>
          <w:sz w:val="32"/>
          <w:szCs w:val="32"/>
          <w:lang w:eastAsia="zh-CN"/>
        </w:rPr>
        <w:t>年度部门决算明细表</w:t>
      </w:r>
    </w:p>
    <w:p w14:paraId="1B1AA4F6">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方正小标宋简体" w:hAnsi="方正小标宋简体" w:eastAsia="方正小标宋简体" w:cs="方正小标宋简体"/>
          <w:b/>
          <w:bCs/>
          <w:sz w:val="32"/>
          <w:szCs w:val="32"/>
          <w:lang w:eastAsia="zh-CN"/>
        </w:rPr>
      </w:pPr>
    </w:p>
    <w:p w14:paraId="4818731A">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方正小标宋简体" w:hAnsi="方正小标宋简体" w:eastAsia="方正小标宋简体" w:cs="方正小标宋简体"/>
          <w:b/>
          <w:bCs/>
          <w:sz w:val="32"/>
          <w:szCs w:val="32"/>
          <w:lang w:eastAsia="zh-CN"/>
        </w:rPr>
      </w:pPr>
      <w:r>
        <w:rPr>
          <w:rFonts w:hint="eastAsia" w:ascii="方正小标宋简体" w:hAnsi="方正小标宋简体" w:eastAsia="方正小标宋简体" w:cs="方正小标宋简体"/>
          <w:b/>
          <w:bCs/>
          <w:sz w:val="32"/>
          <w:szCs w:val="32"/>
          <w:lang w:eastAsia="zh-CN"/>
        </w:rPr>
        <w:t>（详见附件附表）</w:t>
      </w:r>
    </w:p>
    <w:p w14:paraId="6F1B3E3D">
      <w:pPr>
        <w:pStyle w:val="4"/>
        <w:rPr>
          <w:rFonts w:hint="eastAsia" w:ascii="方正小标宋简体" w:hAnsi="方正小标宋简体" w:eastAsia="方正小标宋简体" w:cs="方正小标宋简体"/>
          <w:b/>
          <w:bCs/>
          <w:sz w:val="32"/>
          <w:szCs w:val="32"/>
          <w:lang w:eastAsia="zh-CN"/>
        </w:rPr>
      </w:pPr>
    </w:p>
    <w:p w14:paraId="0162EA4D">
      <w:pPr>
        <w:rPr>
          <w:rFonts w:hint="eastAsia"/>
        </w:rPr>
      </w:pPr>
    </w:p>
    <w:p w14:paraId="7851B54C">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eastAsia="zh-CN"/>
        </w:rPr>
        <w:t>林芝市卫生健康委员会</w:t>
      </w:r>
      <w:bookmarkStart w:id="0" w:name="_GoBack"/>
      <w:bookmarkEnd w:id="0"/>
      <w:r>
        <w:rPr>
          <w:rFonts w:hint="eastAsia" w:ascii="方正小标宋简体" w:hAnsi="方正小标宋简体" w:eastAsia="方正小标宋简体" w:cs="方正小标宋简体"/>
          <w:b/>
          <w:bCs/>
          <w:color w:val="000000"/>
          <w:sz w:val="32"/>
          <w:szCs w:val="32"/>
          <w:lang w:eastAsia="zh-CN"/>
        </w:rPr>
        <w:t>202</w:t>
      </w:r>
      <w:r>
        <w:rPr>
          <w:rFonts w:hint="eastAsia" w:ascii="方正小标宋简体" w:hAnsi="方正小标宋简体" w:eastAsia="方正小标宋简体" w:cs="方正小标宋简体"/>
          <w:b/>
          <w:bCs/>
          <w:color w:val="000000"/>
          <w:sz w:val="32"/>
          <w:szCs w:val="32"/>
          <w:lang w:val="en-US" w:eastAsia="zh-CN"/>
        </w:rPr>
        <w:t>3</w:t>
      </w:r>
      <w:r>
        <w:rPr>
          <w:rFonts w:hint="eastAsia" w:ascii="方正小标宋简体" w:hAnsi="方正小标宋简体" w:eastAsia="方正小标宋简体" w:cs="方正小标宋简体"/>
          <w:b/>
          <w:bCs/>
          <w:color w:val="000000"/>
          <w:sz w:val="32"/>
          <w:szCs w:val="32"/>
          <w:lang w:eastAsia="zh-CN"/>
        </w:rPr>
        <w:t>年度部门决算说明</w:t>
      </w:r>
    </w:p>
    <w:p w14:paraId="7F9CF9AF">
      <w:pPr>
        <w:pStyle w:val="4"/>
        <w:rPr>
          <w:rFonts w:hint="eastAsia"/>
          <w:lang w:eastAsia="zh-CN"/>
        </w:rPr>
      </w:pPr>
    </w:p>
    <w:p w14:paraId="5CB76C61">
      <w:pPr>
        <w:rPr>
          <w:rFonts w:hint="eastAsia"/>
        </w:rPr>
      </w:pPr>
    </w:p>
    <w:p w14:paraId="5B586392">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一、收入支出预算执行情况分析</w:t>
      </w:r>
    </w:p>
    <w:p w14:paraId="02D89D27">
      <w:pPr>
        <w:keepNext w:val="0"/>
        <w:keepLines w:val="0"/>
        <w:pageBreakBefore w:val="0"/>
        <w:kinsoku/>
        <w:wordWrap/>
        <w:topLinePunct w:val="0"/>
        <w:autoSpaceDE/>
        <w:autoSpaceDN/>
        <w:bidi w:val="0"/>
        <w:snapToGrid w:val="0"/>
        <w:spacing w:line="560" w:lineRule="exact"/>
        <w:ind w:firstLine="643" w:firstLineChars="200"/>
        <w:rPr>
          <w:rFonts w:hint="eastAsia" w:ascii="楷体_GB2312" w:hAnsi="仿宋" w:eastAsia="楷体_GB2312" w:cs="Times New Roman"/>
          <w:b/>
          <w:sz w:val="32"/>
          <w:szCs w:val="32"/>
        </w:rPr>
      </w:pPr>
      <w:r>
        <w:rPr>
          <w:rFonts w:hint="eastAsia" w:ascii="楷体_GB2312" w:hAnsi="仿宋" w:eastAsia="楷体_GB2312" w:cs="Times New Roman"/>
          <w:b/>
          <w:sz w:val="32"/>
          <w:szCs w:val="32"/>
        </w:rPr>
        <w:t>（一）</w:t>
      </w:r>
      <w:r>
        <w:rPr>
          <w:rFonts w:hint="eastAsia" w:ascii="楷体_GB2312" w:hAnsi="仿宋" w:eastAsia="楷体_GB2312" w:cs="Times New Roman"/>
          <w:b/>
          <w:sz w:val="32"/>
          <w:szCs w:val="32"/>
          <w:lang w:eastAsia="zh-CN"/>
        </w:rPr>
        <w:t>年初</w:t>
      </w:r>
      <w:r>
        <w:rPr>
          <w:rFonts w:hint="eastAsia" w:ascii="楷体_GB2312" w:hAnsi="仿宋" w:eastAsia="楷体_GB2312" w:cs="Times New Roman"/>
          <w:b/>
          <w:sz w:val="32"/>
          <w:szCs w:val="32"/>
        </w:rPr>
        <w:t>预算安排情况。</w:t>
      </w:r>
    </w:p>
    <w:p w14:paraId="14EA8C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b w:val="0"/>
          <w:bCs/>
          <w:sz w:val="32"/>
          <w:szCs w:val="32"/>
          <w:highlight w:val="none"/>
          <w:lang w:val="en-US" w:eastAsia="zh-CN"/>
        </w:rPr>
      </w:pPr>
      <w:r>
        <w:rPr>
          <w:rFonts w:hint="eastAsia" w:ascii="仿宋_GB2312" w:hAnsi="仿宋" w:eastAsia="仿宋_GB2312" w:cs="仿宋"/>
          <w:color w:val="000000"/>
          <w:sz w:val="32"/>
          <w:szCs w:val="32"/>
        </w:rPr>
        <w:t>单位本年度收入</w:t>
      </w:r>
      <w:r>
        <w:rPr>
          <w:rFonts w:hint="eastAsia" w:ascii="仿宋_GB2312" w:hAnsi="仿宋" w:eastAsia="仿宋_GB2312" w:cs="仿宋"/>
          <w:color w:val="000000"/>
          <w:sz w:val="32"/>
          <w:szCs w:val="32"/>
          <w:lang w:eastAsia="zh-CN"/>
        </w:rPr>
        <w:t>支出预算安排</w:t>
      </w:r>
      <w:r>
        <w:rPr>
          <w:rFonts w:hint="eastAsia" w:ascii="仿宋_GB2312" w:eastAsia="仿宋_GB2312"/>
          <w:color w:val="000000"/>
          <w:sz w:val="32"/>
          <w:szCs w:val="32"/>
          <w:lang w:val="en-US" w:eastAsia="zh-CN"/>
        </w:rPr>
        <w:t>1754.82</w:t>
      </w:r>
      <w:r>
        <w:rPr>
          <w:rFonts w:hint="eastAsia" w:ascii="仿宋_GB2312" w:hAnsi="仿宋" w:eastAsia="仿宋_GB2312" w:cs="仿宋"/>
          <w:color w:val="000000"/>
          <w:sz w:val="32"/>
          <w:szCs w:val="32"/>
        </w:rPr>
        <w:t>万元，</w:t>
      </w:r>
      <w:r>
        <w:rPr>
          <w:rFonts w:hint="eastAsia" w:ascii="仿宋_GB2312" w:hAnsi="仿宋_GB2312" w:eastAsia="仿宋_GB2312" w:cs="仿宋_GB2312"/>
          <w:sz w:val="32"/>
          <w:szCs w:val="32"/>
        </w:rPr>
        <w:t>其中：年初预算数</w:t>
      </w:r>
      <w:r>
        <w:rPr>
          <w:rFonts w:hint="eastAsia" w:ascii="仿宋_GB2312" w:hAnsi="仿宋_GB2312" w:eastAsia="仿宋_GB2312" w:cs="仿宋_GB2312"/>
          <w:sz w:val="32"/>
          <w:szCs w:val="32"/>
          <w:lang w:val="en-US" w:eastAsia="zh-CN"/>
        </w:rPr>
        <w:t>1754.82</w:t>
      </w:r>
      <w:r>
        <w:rPr>
          <w:rFonts w:hint="eastAsia" w:ascii="仿宋_GB2312" w:hAnsi="仿宋_GB2312" w:eastAsia="仿宋_GB2312" w:cs="仿宋_GB2312"/>
          <w:sz w:val="32"/>
          <w:szCs w:val="32"/>
        </w:rPr>
        <w:t>万元，调整预算数为</w:t>
      </w:r>
      <w:r>
        <w:rPr>
          <w:rFonts w:hint="eastAsia" w:ascii="仿宋_GB2312" w:eastAsia="仿宋_GB2312"/>
          <w:color w:val="000000"/>
          <w:sz w:val="32"/>
          <w:szCs w:val="32"/>
          <w:lang w:val="en-US" w:eastAsia="zh-CN"/>
        </w:rPr>
        <w:t>1754.82</w:t>
      </w:r>
      <w:r>
        <w:rPr>
          <w:rFonts w:hint="eastAsia" w:ascii="仿宋_GB2312" w:hAnsi="仿宋_GB2312" w:eastAsia="仿宋_GB2312" w:cs="仿宋_GB2312"/>
          <w:sz w:val="32"/>
          <w:szCs w:val="32"/>
        </w:rPr>
        <w:t>万元。较上年同期增加206.4万元、增长13.33%。主要原因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宋体" w:eastAsia="仿宋_GB2312"/>
          <w:b w:val="0"/>
          <w:bCs/>
          <w:sz w:val="32"/>
          <w:szCs w:val="32"/>
          <w:lang w:val="en-US" w:eastAsia="zh-CN"/>
        </w:rPr>
        <w:t>022年按照财政要求项目资金未列入在年初预算内，2023年度项目资金列入年初预算安排中，因此有差异。</w:t>
      </w:r>
    </w:p>
    <w:p w14:paraId="648CB9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sz w:val="32"/>
          <w:szCs w:val="32"/>
          <w:highlight w:val="none"/>
          <w:lang w:val="en-US" w:eastAsia="zh-CN"/>
        </w:rPr>
      </w:pPr>
      <w:r>
        <w:rPr>
          <w:rFonts w:hint="eastAsia" w:ascii="仿宋_GB2312" w:hAnsi="仿宋_GB2312" w:eastAsia="仿宋_GB2312" w:cs="仿宋_GB2312"/>
          <w:sz w:val="32"/>
          <w:szCs w:val="32"/>
          <w:highlight w:val="none"/>
        </w:rPr>
        <w:t>市卫生健康委员会2023年部门预算</w:t>
      </w:r>
      <w:r>
        <w:rPr>
          <w:rFonts w:hint="eastAsia" w:ascii="仿宋_GB2312" w:hAnsi="仿宋_GB2312" w:eastAsia="仿宋_GB2312" w:cs="仿宋_GB2312"/>
          <w:sz w:val="32"/>
          <w:szCs w:val="32"/>
          <w:highlight w:val="none"/>
          <w:lang w:eastAsia="zh-CN"/>
        </w:rPr>
        <w:t>安排</w:t>
      </w:r>
      <w:r>
        <w:rPr>
          <w:rFonts w:hint="eastAsia" w:ascii="仿宋_GB2312" w:hAnsi="仿宋_GB2312" w:eastAsia="仿宋_GB2312" w:cs="仿宋_GB2312"/>
          <w:sz w:val="32"/>
          <w:szCs w:val="32"/>
          <w:highlight w:val="none"/>
        </w:rPr>
        <w:t>1754.82万元，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基本支出</w:t>
      </w:r>
      <w:r>
        <w:rPr>
          <w:rFonts w:hint="eastAsia" w:ascii="仿宋_GB2312" w:hAnsi="仿宋_GB2312" w:eastAsia="仿宋_GB2312" w:cs="仿宋_GB2312"/>
          <w:sz w:val="32"/>
          <w:szCs w:val="32"/>
          <w:highlight w:val="none"/>
          <w:lang w:val="en-US" w:eastAsia="zh-CN"/>
        </w:rPr>
        <w:t>1352.89</w:t>
      </w:r>
      <w:r>
        <w:rPr>
          <w:rFonts w:hint="eastAsia" w:ascii="仿宋_GB2312" w:hAnsi="仿宋_GB2312" w:eastAsia="仿宋_GB2312" w:cs="仿宋_GB2312"/>
          <w:sz w:val="32"/>
          <w:szCs w:val="32"/>
          <w:highlight w:val="none"/>
        </w:rPr>
        <w:t>万元，较上年同期</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85.83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其中：工资福利支出1352.89万元，较上年同期减少85.83元、下降</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%；商品和服务支出79.97万元，较上年减少30.03万元、下降27%</w:t>
      </w:r>
      <w:r>
        <w:rPr>
          <w:rFonts w:hint="eastAsia" w:ascii="仿宋_GB2312" w:hAnsi="仿宋_GB2312" w:eastAsia="仿宋_GB2312" w:cs="仿宋_GB2312"/>
          <w:sz w:val="32"/>
          <w:szCs w:val="32"/>
          <w:highlight w:val="none"/>
          <w:lang w:eastAsia="zh-CN"/>
        </w:rPr>
        <w:t>；项目支出预算安排</w:t>
      </w:r>
      <w:r>
        <w:rPr>
          <w:rFonts w:hint="eastAsia" w:ascii="仿宋_GB2312" w:hAnsi="仿宋_GB2312" w:eastAsia="仿宋_GB2312" w:cs="仿宋_GB2312"/>
          <w:sz w:val="32"/>
          <w:szCs w:val="32"/>
          <w:highlight w:val="none"/>
          <w:lang w:val="en-US" w:eastAsia="zh-CN"/>
        </w:rPr>
        <w:t>321.96万元，较上年增加321.96万元，增长100%，</w:t>
      </w:r>
    </w:p>
    <w:p w14:paraId="055F65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33A17248">
      <w:pPr>
        <w:pStyle w:val="8"/>
        <w:ind w:left="0" w:leftChars="0" w:firstLine="0" w:firstLineChars="0"/>
        <w:rPr>
          <w:rFonts w:hint="eastAsia"/>
        </w:rPr>
      </w:pPr>
      <w:r>
        <w:drawing>
          <wp:inline distT="0" distB="0" distL="114300" distR="114300">
            <wp:extent cx="5272405" cy="2473960"/>
            <wp:effectExtent l="4445" t="4445" r="19050" b="17145"/>
            <wp:docPr id="615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9B65D98">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（二）收入支出预算执行情况。</w:t>
      </w:r>
    </w:p>
    <w:p w14:paraId="61E52DBE">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1．收入支出与预算对比分析。</w:t>
      </w:r>
    </w:p>
    <w:p w14:paraId="1038CDE5">
      <w:pPr>
        <w:pStyle w:val="4"/>
        <w:ind w:firstLine="60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0"/>
          <w:szCs w:val="30"/>
          <w:lang w:val="en-US" w:eastAsia="zh-CN" w:bidi="ar-SA"/>
        </w:rPr>
        <w:t>2023年收入6586.46万元，较年初预算安排1754.82万元增加4831.64万元，增长275.34%。主要是2023年基本工资、津贴、职工福利费、御寒费等按2022年11月在册人员所执行的标准核定预算，面在2023年度实际在册人员人员增加，相应追加的人员经费、公用经费增加，同时新增转移支付资金和2022年度疫情防控资金（核酸检测经费）等项目资金追加。</w:t>
      </w:r>
    </w:p>
    <w:p w14:paraId="609489E7">
      <w:pPr>
        <w:pStyle w:val="4"/>
        <w:ind w:firstLine="600" w:firstLineChars="200"/>
        <w:rPr>
          <w:rFonts w:hint="default"/>
          <w:lang w:val="en-US" w:eastAsia="zh-CN"/>
        </w:rPr>
      </w:pPr>
      <w:r>
        <w:rPr>
          <w:rFonts w:hint="eastAsia" w:ascii="仿宋_GB2312" w:hAnsi="仿宋_GB2312" w:eastAsia="仿宋_GB2312" w:cs="仿宋_GB2312"/>
          <w:kern w:val="2"/>
          <w:sz w:val="30"/>
          <w:szCs w:val="30"/>
          <w:lang w:val="en-US" w:eastAsia="zh-CN" w:bidi="ar-SA"/>
        </w:rPr>
        <w:t>2023年支出7371.74万元，较年初预算安排1754.82万元增加5616.92万元，增长320.09%。主要是2023年基本工资、津贴、职工福利费、御寒费等按2022年11月在册人员所执行的标准核定预算，而在2023年度实际在册人员人员增加，相应追加的人员经费、公用经费增加，同时新增转移支付资金和2022年度疫情防控资金（核酸检测经费）等项目资金追加。</w:t>
      </w:r>
    </w:p>
    <w:p w14:paraId="07D241A1">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2．收入支出结构分析。</w:t>
      </w:r>
    </w:p>
    <w:p w14:paraId="1F66D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全年总支出为7371.74万元。其中：基本支出1518.97万元占总支出20.61%（人员经费1433.68万元，占基本支出的94.39%；公用经费85.28万元，占基本支出的5.61%）；项目支出5852.77万元，占总支出的79.39%。</w:t>
      </w:r>
    </w:p>
    <w:p w14:paraId="76403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基本支出1518.97万元，占总支出的20.61%，较上年下降2.62%，主要2023年度为退休4人，相应的人员支出减少；</w:t>
      </w:r>
    </w:p>
    <w:p w14:paraId="3E22E3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(1)工资福利支出为1394.32万元，占基本支出的91.79%。其中: 基本工资为215.48万元；津贴补贴为700.24万元（含住房补贴59.35万元）；奖金为73.35万元；伙食补助费33.12万元；养老保险146.98万元；医疗保险71.65万元；公务员医疗补助10.81万元；其他社会保障缴费2.38万元；公积金105.97万元；医疗费0.19万元；其他工资福利支出34.15万元。</w:t>
      </w:r>
    </w:p>
    <w:p w14:paraId="79CB2C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商品和服务支出为85.03万元，占基本支出的5.6%。其中：办公费10.05万元；印刷费0.12万元；水费0.8万元；电费11万元；邮电费2.66万元；物业管理费0.26万元；差旅费9.11万元；维修(护)费1.06万元；租赁费0.18万元；公务接待费3万元；委托业务费0.35万元；工会经费19万元；公务用车运行维护费为18.56万元；其他商品和服务支出8.88万元；</w:t>
      </w:r>
    </w:p>
    <w:p w14:paraId="55AAD3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(3)对个人和家庭的补助支出39.36万元，占基本支出的2.59%。其中生活补助32.1万元；其他对个人和家庭的补助支出7.26万元。</w:t>
      </w:r>
    </w:p>
    <w:p w14:paraId="04E1DE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color w:val="auto"/>
          <w:sz w:val="32"/>
          <w:szCs w:val="32"/>
          <w:highlight w:val="none"/>
          <w:lang w:val="en-US" w:eastAsia="zh-CN"/>
        </w:rPr>
        <w:t>项目支出为5852.77万元，</w:t>
      </w:r>
      <w:r>
        <w:rPr>
          <w:rFonts w:hint="eastAsia" w:ascii="仿宋_GB2312" w:hAnsi="仿宋" w:eastAsia="仿宋_GB2312"/>
          <w:sz w:val="32"/>
          <w:szCs w:val="32"/>
          <w:highlight w:val="none"/>
          <w:lang w:val="en-US" w:eastAsia="zh-CN"/>
        </w:rPr>
        <w:t>占总支出的79.39%。</w:t>
      </w:r>
      <w:r>
        <w:rPr>
          <w:rFonts w:hint="eastAsia" w:ascii="仿宋_GB2312" w:hAnsi="仿宋" w:eastAsia="仿宋_GB2312"/>
          <w:color w:val="auto"/>
          <w:sz w:val="32"/>
          <w:szCs w:val="32"/>
          <w:highlight w:val="none"/>
          <w:lang w:val="en-US" w:eastAsia="zh-CN"/>
        </w:rPr>
        <w:t>较上年</w:t>
      </w:r>
      <w:r>
        <w:rPr>
          <w:rFonts w:hint="eastAsia" w:ascii="仿宋_GB2312" w:hAnsi="仿宋" w:eastAsia="仿宋_GB2312"/>
          <w:sz w:val="32"/>
          <w:szCs w:val="32"/>
          <w:highlight w:val="none"/>
          <w:lang w:val="en-US" w:eastAsia="zh-CN"/>
        </w:rPr>
        <w:t>年增加</w:t>
      </w:r>
      <w:r>
        <w:rPr>
          <w:rFonts w:hint="eastAsia" w:ascii="仿宋_GB2312" w:hAnsi="仿宋" w:eastAsia="仿宋_GB2312"/>
          <w:sz w:val="32"/>
          <w:szCs w:val="32"/>
          <w:lang w:val="en-US" w:eastAsia="zh-CN"/>
        </w:rPr>
        <w:t>1999.47万元，同比增长51.89%。其中：具体详见表</w:t>
      </w:r>
    </w:p>
    <w:tbl>
      <w:tblPr>
        <w:tblStyle w:val="9"/>
        <w:tblW w:w="8655" w:type="dxa"/>
        <w:tblInd w:w="93" w:type="dxa"/>
        <w:shd w:val="clear" w:color="auto" w:fill="auto"/>
        <w:tblLayout w:type="autofit"/>
        <w:tblCellMar>
          <w:top w:w="0" w:type="dxa"/>
          <w:left w:w="108" w:type="dxa"/>
          <w:bottom w:w="0" w:type="dxa"/>
          <w:right w:w="108" w:type="dxa"/>
        </w:tblCellMar>
      </w:tblPr>
      <w:tblGrid>
        <w:gridCol w:w="690"/>
        <w:gridCol w:w="6390"/>
        <w:gridCol w:w="1575"/>
      </w:tblGrid>
      <w:tr w14:paraId="3FF9ADF0">
        <w:tblPrEx>
          <w:shd w:val="clear" w:color="auto" w:fill="auto"/>
          <w:tblCellMar>
            <w:top w:w="0" w:type="dxa"/>
            <w:left w:w="108" w:type="dxa"/>
            <w:bottom w:w="0" w:type="dxa"/>
            <w:right w:w="108" w:type="dxa"/>
          </w:tblCellMar>
        </w:tblPrEx>
        <w:trPr>
          <w:trHeight w:val="480" w:hRule="atLeast"/>
        </w:trPr>
        <w:tc>
          <w:tcPr>
            <w:tcW w:w="8655" w:type="dxa"/>
            <w:gridSpan w:val="3"/>
            <w:tcBorders>
              <w:top w:val="nil"/>
              <w:left w:val="nil"/>
              <w:bottom w:val="nil"/>
              <w:right w:val="nil"/>
            </w:tcBorders>
            <w:shd w:val="clear" w:color="auto" w:fill="FFFFFF"/>
            <w:noWrap/>
            <w:vAlign w:val="bottom"/>
          </w:tcPr>
          <w:p w14:paraId="0D51C4AD">
            <w:pPr>
              <w:keepNext w:val="0"/>
              <w:keepLines w:val="0"/>
              <w:widowControl/>
              <w:suppressLineNumbers w:val="0"/>
              <w:jc w:val="center"/>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2023年度项目支出明细表</w:t>
            </w:r>
          </w:p>
        </w:tc>
      </w:tr>
      <w:tr w14:paraId="21B1B7B2">
        <w:tblPrEx>
          <w:tblCellMar>
            <w:top w:w="0" w:type="dxa"/>
            <w:left w:w="108" w:type="dxa"/>
            <w:bottom w:w="0" w:type="dxa"/>
            <w:right w:w="108" w:type="dxa"/>
          </w:tblCellMar>
        </w:tblPrEx>
        <w:trPr>
          <w:trHeight w:val="30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1DD1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3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DC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科目名称（二级项目名称）</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BE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r>
      <w:tr w14:paraId="61F4C8CC">
        <w:tblPrEx>
          <w:tblCellMar>
            <w:top w:w="0" w:type="dxa"/>
            <w:left w:w="108" w:type="dxa"/>
            <w:bottom w:w="0" w:type="dxa"/>
            <w:right w:w="108" w:type="dxa"/>
          </w:tblCellMar>
        </w:tblPrEx>
        <w:trPr>
          <w:trHeight w:val="30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743C410">
            <w:pPr>
              <w:jc w:val="center"/>
              <w:rPr>
                <w:rFonts w:hint="eastAsia" w:ascii="宋体" w:hAnsi="宋体" w:eastAsia="宋体" w:cs="宋体"/>
                <w:i w:val="0"/>
                <w:iCs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31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1346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5,852.77 </w:t>
            </w:r>
          </w:p>
        </w:tc>
      </w:tr>
      <w:tr w14:paraId="6948DCF7">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5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F3B4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创建党建示范点项目经费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3C3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r>
      <w:tr w14:paraId="07C6579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5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DB0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"双百计划“柔性援藏人才引进经费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37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61.53 </w:t>
            </w:r>
          </w:p>
        </w:tc>
      </w:tr>
      <w:tr w14:paraId="1248260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82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D28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喜马拉雅公路自行车极限赛活动经费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A7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0.05 </w:t>
            </w:r>
          </w:p>
        </w:tc>
      </w:tr>
      <w:tr w14:paraId="52E5643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D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E0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74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5.47 </w:t>
            </w:r>
          </w:p>
        </w:tc>
      </w:tr>
      <w:tr w14:paraId="1F543D8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B72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6D2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子女探亲费项目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F8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1.52 </w:t>
            </w:r>
          </w:p>
        </w:tc>
      </w:tr>
      <w:tr w14:paraId="7CC2409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0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D2A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"双百计划“柔性援藏人才引进经费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66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100.06 </w:t>
            </w:r>
          </w:p>
        </w:tc>
      </w:tr>
      <w:tr w14:paraId="187B692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1D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FCE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卫健委党建工作经费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59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19.47 </w:t>
            </w:r>
          </w:p>
        </w:tc>
      </w:tr>
      <w:tr w14:paraId="31D8314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1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507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三大节日慰问金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DE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1.90 </w:t>
            </w:r>
          </w:p>
        </w:tc>
      </w:tr>
      <w:tr w14:paraId="450ED27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9C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DEE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2022年未休假及未修满年假补助经费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DA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37.37 </w:t>
            </w:r>
          </w:p>
        </w:tc>
      </w:tr>
      <w:tr w14:paraId="7A20A62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A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3BD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2022年度全国医师资格考试暨实践技能考试考务费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7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9.00 </w:t>
            </w:r>
          </w:p>
        </w:tc>
      </w:tr>
      <w:tr w14:paraId="39A0B9A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7E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03F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医改和医疗保障工作经费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2C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15.00 </w:t>
            </w:r>
          </w:p>
        </w:tc>
      </w:tr>
      <w:tr w14:paraId="0ACC0DE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75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EC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聘请法律顾问经费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77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2.50 </w:t>
            </w:r>
          </w:p>
        </w:tc>
      </w:tr>
      <w:tr w14:paraId="2928048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2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5BA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2022年爱卫病媒生物防治经费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76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57.94 </w:t>
            </w:r>
          </w:p>
        </w:tc>
      </w:tr>
      <w:tr w14:paraId="46DAC87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4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152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红十字会事业工作经费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63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9.06 </w:t>
            </w:r>
          </w:p>
        </w:tc>
      </w:tr>
      <w:tr w14:paraId="0F897EE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94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886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爱国卫生运动办公室工作经费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0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13.05 </w:t>
            </w:r>
          </w:p>
        </w:tc>
      </w:tr>
      <w:tr w14:paraId="66BFDF2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9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E2A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全国医师资格考试暨实践技能考试考务费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66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20.91 </w:t>
            </w:r>
          </w:p>
        </w:tc>
      </w:tr>
      <w:tr w14:paraId="3C117A2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9C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66A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健康影响评价评估制度建设试点工作经费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DB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 </w:t>
            </w:r>
          </w:p>
        </w:tc>
      </w:tr>
      <w:tr w14:paraId="62465C4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A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268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鼠疫、新冠肺炎疫情等多病共防工作经费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FD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3.53 </w:t>
            </w:r>
          </w:p>
        </w:tc>
      </w:tr>
      <w:tr w14:paraId="5A25F56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67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08F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全国卫生专业技术资格暨执业资格考试卫生人才评价考试考务经费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D3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12.86 </w:t>
            </w:r>
          </w:p>
        </w:tc>
      </w:tr>
      <w:tr w14:paraId="2F095C2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F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9A8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林芝市藏医药发展论坛经费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BF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11.79 </w:t>
            </w:r>
          </w:p>
        </w:tc>
      </w:tr>
      <w:tr w14:paraId="1F9D7E4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95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0D9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短期柔性援藏人才对口支援经费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43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 </w:t>
            </w:r>
          </w:p>
        </w:tc>
      </w:tr>
      <w:tr w14:paraId="1BA000A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A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3F2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“十四五“卫生健康规划编制经费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4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4.00 </w:t>
            </w:r>
          </w:p>
        </w:tc>
      </w:tr>
      <w:tr w14:paraId="39D5C0A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8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7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援藏粤林育才专项资金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25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8.97 </w:t>
            </w:r>
          </w:p>
        </w:tc>
      </w:tr>
      <w:tr w14:paraId="366F529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3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D76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援藏项目百名儿童先心病等大病救治工程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71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12.37 </w:t>
            </w:r>
          </w:p>
        </w:tc>
      </w:tr>
      <w:tr w14:paraId="3C4CE9E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CD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0E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援藏工作经费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91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0.29 </w:t>
            </w:r>
          </w:p>
        </w:tc>
      </w:tr>
      <w:tr w14:paraId="1EA6C7C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9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8F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健康云、“三区三州”系统运维费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E0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6.34 </w:t>
            </w:r>
          </w:p>
        </w:tc>
      </w:tr>
      <w:tr w14:paraId="6085CF5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0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78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两新组织党员活动经费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3B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0.45 </w:t>
            </w:r>
          </w:p>
        </w:tc>
      </w:tr>
      <w:tr w14:paraId="7F57F5A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4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2A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2021年度卫生监督执法人员服装经费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F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4.99 </w:t>
            </w:r>
          </w:p>
        </w:tc>
      </w:tr>
      <w:tr w14:paraId="6BFF40E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3D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49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基层医疗机构救护车及应急后勤保障设施设备采购项目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4C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29.83 </w:t>
            </w:r>
          </w:p>
        </w:tc>
      </w:tr>
      <w:tr w14:paraId="22ACC88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67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CEF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高海拔医疗机构集中供暖及供氧项目设计费（设计尾款）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45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2.55 </w:t>
            </w:r>
          </w:p>
        </w:tc>
      </w:tr>
      <w:tr w14:paraId="7101124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44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A8D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2021年卫生健康领域第一批中央基建投资（疾控中心建设项目）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7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1,113.65 </w:t>
            </w:r>
          </w:p>
        </w:tc>
      </w:tr>
      <w:tr w14:paraId="77DB00F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F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B71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2022年中心血站（业务楼、献血屋）维修费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40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1.81 </w:t>
            </w:r>
          </w:p>
        </w:tc>
      </w:tr>
      <w:tr w14:paraId="2BF59DD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27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A59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中心血站业务费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D8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68.81 </w:t>
            </w:r>
          </w:p>
        </w:tc>
      </w:tr>
      <w:tr w14:paraId="579EBBD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8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06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78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0.73 </w:t>
            </w:r>
          </w:p>
        </w:tc>
      </w:tr>
      <w:tr w14:paraId="1AC6273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B5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F1C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火眼移动方舱实验室购置资金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E8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32.50 </w:t>
            </w:r>
          </w:p>
        </w:tc>
      </w:tr>
      <w:tr w14:paraId="3A91EB8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8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4F3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血站2021年重大传染病防控经费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6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369.90 </w:t>
            </w:r>
          </w:p>
        </w:tc>
      </w:tr>
      <w:tr w14:paraId="7D2C2D4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0C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790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疫情防控财力补助资金（核酸检测及耗材费用）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CF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2,199.93 </w:t>
            </w:r>
          </w:p>
        </w:tc>
      </w:tr>
      <w:tr w14:paraId="6B79249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7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B28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林芝市级层面抗疫工作人员补助经费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90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19.56 </w:t>
            </w:r>
          </w:p>
        </w:tc>
      </w:tr>
      <w:tr w14:paraId="1C4A0C1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1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D7F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宇拓方舱医院和干部疗养中心隔离点改造经费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8C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133.83 </w:t>
            </w:r>
          </w:p>
        </w:tc>
      </w:tr>
      <w:tr w14:paraId="3010E6B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1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941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重大传染病防控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53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1.96 </w:t>
            </w:r>
          </w:p>
        </w:tc>
      </w:tr>
      <w:tr w14:paraId="049FB5C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4C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0D4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疫情防控财务补助（应急指挥中心改造）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6C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46.80 </w:t>
            </w:r>
          </w:p>
        </w:tc>
      </w:tr>
      <w:tr w14:paraId="4485625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D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13A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方舱（日间照料中心）购置设备款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FC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7.18 </w:t>
            </w:r>
          </w:p>
        </w:tc>
      </w:tr>
      <w:tr w14:paraId="7D4C26B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8A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C4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新冠肺炎疫情防控补助金资金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C1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30.24 </w:t>
            </w:r>
          </w:p>
        </w:tc>
      </w:tr>
      <w:tr w14:paraId="3DB289F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E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C7F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新冠肺炎疫情防控补助金资金（质量认证）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FA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9.00 </w:t>
            </w:r>
          </w:p>
        </w:tc>
      </w:tr>
      <w:tr w14:paraId="0C6B5D4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59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16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民营医疗机构核酸采样补助资金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0C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69.09 </w:t>
            </w:r>
          </w:p>
        </w:tc>
      </w:tr>
      <w:tr w14:paraId="5857D81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1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6E2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2021年度重大传染病防控经费（疾控机构能力提升和重点工作保障项目）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78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200.00 </w:t>
            </w:r>
          </w:p>
        </w:tc>
      </w:tr>
      <w:tr w14:paraId="115074C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6E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35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2022年结转防疫医疗物资采购经费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62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w:t>
            </w:r>
          </w:p>
        </w:tc>
      </w:tr>
      <w:tr w14:paraId="3F6A82D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5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DA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疫情防控临时性工作补助资金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6F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194.50 </w:t>
            </w:r>
          </w:p>
        </w:tc>
      </w:tr>
      <w:tr w14:paraId="1F05FD1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2C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6E0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干部职工体检费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B9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8.82 </w:t>
            </w:r>
          </w:p>
        </w:tc>
      </w:tr>
      <w:tr w14:paraId="456B8DB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3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2EA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老龄事业及“敬老文明号“创建工作经费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AD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18.15 </w:t>
            </w:r>
          </w:p>
        </w:tc>
      </w:tr>
      <w:tr w14:paraId="63D2A70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5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FC1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寿星老健康补贴经费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5B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23.43 </w:t>
            </w:r>
          </w:p>
        </w:tc>
      </w:tr>
      <w:tr w14:paraId="77201A4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E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3EB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雪崩灾害抢险救援补助资金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55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1.95 </w:t>
            </w:r>
          </w:p>
        </w:tc>
      </w:tr>
      <w:tr w14:paraId="2C46A02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0C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637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林芝市应急体系项目资金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6B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30.24 </w:t>
            </w:r>
          </w:p>
        </w:tc>
      </w:tr>
      <w:tr w14:paraId="025F468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6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913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公共卫生临床服务中心（传染病医院）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42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779.89 </w:t>
            </w:r>
          </w:p>
        </w:tc>
      </w:tr>
    </w:tbl>
    <w:p w14:paraId="58ADCEDA">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增加原因：疫情防控财力补助资金（核酸检测及耗材费用）2199.93万元、公共卫生临床服务中心（传染病医院）779.89万元、2021年卫生健康领域第一批中央基建投资（疾控中心建设项目）1113.65万元等项目资金。</w:t>
      </w:r>
    </w:p>
    <w:p w14:paraId="11B31DAC">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3．支出按经济分类科目分析。</w:t>
      </w:r>
    </w:p>
    <w:p w14:paraId="5ADBD362">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 w:eastAsia="仿宋_GB2312"/>
          <w:sz w:val="32"/>
          <w:szCs w:val="32"/>
        </w:rPr>
        <w:t>“三公”经费支出情况：</w:t>
      </w:r>
      <w:r>
        <w:rPr>
          <w:rFonts w:hint="eastAsia" w:ascii="仿宋_GB2312" w:hAnsi="仿宋_GB2312" w:eastAsia="仿宋_GB2312" w:cs="仿宋_GB2312"/>
          <w:sz w:val="32"/>
          <w:szCs w:val="32"/>
        </w:rPr>
        <w:t>单位2023年度一般公共预算财政拨款“三公”经费支出决算数</w:t>
      </w:r>
      <w:r>
        <w:rPr>
          <w:rFonts w:hint="eastAsia" w:ascii="仿宋_GB2312" w:hAnsi="仿宋_GB2312" w:eastAsia="仿宋_GB2312" w:cs="仿宋_GB2312"/>
          <w:sz w:val="32"/>
          <w:szCs w:val="32"/>
          <w:lang w:val="en-US" w:eastAsia="zh-CN"/>
        </w:rPr>
        <w:t>33.58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w:t>
      </w:r>
      <w:r>
        <w:rPr>
          <w:rFonts w:hint="eastAsia" w:ascii="仿宋_GB2312" w:hAnsi="仿宋_GB2312" w:eastAsia="仿宋_GB2312" w:cs="仿宋_GB2312"/>
          <w:sz w:val="32"/>
          <w:szCs w:val="32"/>
        </w:rPr>
        <w:t>比减少</w:t>
      </w:r>
      <w:r>
        <w:rPr>
          <w:rFonts w:hint="eastAsia" w:ascii="仿宋_GB2312" w:hAnsi="仿宋_GB2312" w:eastAsia="仿宋_GB2312" w:cs="仿宋_GB2312"/>
          <w:sz w:val="32"/>
          <w:szCs w:val="32"/>
          <w:lang w:val="en-US" w:eastAsia="zh-CN"/>
        </w:rPr>
        <w:t>0.31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b/>
          <w:bCs/>
          <w:sz w:val="32"/>
          <w:szCs w:val="32"/>
        </w:rPr>
        <w:t>公务用车运行维护费全年支出</w:t>
      </w:r>
      <w:r>
        <w:rPr>
          <w:rFonts w:hint="eastAsia" w:ascii="仿宋_GB2312" w:hAnsi="仿宋_GB2312" w:eastAsia="仿宋_GB2312" w:cs="仿宋_GB2312"/>
          <w:b/>
          <w:bCs/>
          <w:sz w:val="32"/>
          <w:szCs w:val="32"/>
          <w:lang w:val="en-US" w:eastAsia="zh-CN"/>
        </w:rPr>
        <w:t>30.58</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lang w:eastAsia="zh-CN"/>
        </w:rPr>
        <w:t>较上年增加</w:t>
      </w:r>
      <w:r>
        <w:rPr>
          <w:rFonts w:hint="eastAsia" w:ascii="仿宋_GB2312" w:hAnsi="仿宋_GB2312" w:eastAsia="仿宋_GB2312" w:cs="仿宋_GB2312"/>
          <w:sz w:val="32"/>
          <w:szCs w:val="32"/>
          <w:lang w:val="en-US" w:eastAsia="zh-CN"/>
        </w:rPr>
        <w:t>3.76万元，增长12.61</w:t>
      </w:r>
      <w:r>
        <w:rPr>
          <w:rFonts w:hint="eastAsia" w:ascii="仿宋_GB2312" w:hAnsi="仿宋_GB2312" w:eastAsia="仿宋_GB2312" w:cs="仿宋_GB2312"/>
          <w:sz w:val="32"/>
          <w:szCs w:val="32"/>
        </w:rPr>
        <w:t>%；年末车辆保有量</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（含中心血站</w:t>
      </w:r>
      <w:r>
        <w:rPr>
          <w:rFonts w:hint="eastAsia" w:ascii="仿宋_GB2312" w:hAnsi="仿宋_GB2312" w:eastAsia="仿宋_GB2312" w:cs="仿宋_GB2312"/>
          <w:sz w:val="32"/>
          <w:szCs w:val="32"/>
          <w:lang w:val="en-US" w:eastAsia="zh-CN"/>
        </w:rPr>
        <w:t>2辆）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1辆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2023年申请报废。目前</w:t>
      </w:r>
      <w:r>
        <w:rPr>
          <w:rFonts w:hint="eastAsia" w:ascii="仿宋_GB2312" w:hAnsi="仿宋_GB2312" w:eastAsia="仿宋_GB2312" w:cs="仿宋_GB2312"/>
          <w:sz w:val="32"/>
          <w:szCs w:val="32"/>
        </w:rPr>
        <w:t>在册登记</w:t>
      </w:r>
      <w:r>
        <w:rPr>
          <w:rFonts w:hint="eastAsia" w:ascii="仿宋_GB2312" w:hAnsi="仿宋_GB2312" w:eastAsia="仿宋_GB2312" w:cs="仿宋_GB2312"/>
          <w:sz w:val="32"/>
          <w:szCs w:val="32"/>
          <w:lang w:val="en-US" w:eastAsia="zh-CN"/>
        </w:rPr>
        <w:t>7辆，其中：</w:t>
      </w:r>
      <w:r>
        <w:rPr>
          <w:rFonts w:hint="eastAsia" w:ascii="仿宋_GB2312" w:hAnsi="仿宋_GB2312" w:eastAsia="仿宋_GB2312" w:cs="仿宋_GB2312"/>
          <w:sz w:val="32"/>
          <w:szCs w:val="32"/>
        </w:rPr>
        <w:t>应急保障用车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其他用车公车</w:t>
      </w:r>
      <w:r>
        <w:rPr>
          <w:rFonts w:hint="eastAsia" w:ascii="仿宋_GB2312" w:hAnsi="仿宋_GB2312" w:eastAsia="仿宋_GB2312" w:cs="仿宋_GB2312"/>
          <w:sz w:val="32"/>
          <w:szCs w:val="32"/>
          <w:lang w:val="en-US" w:eastAsia="zh-CN"/>
        </w:rPr>
        <w:t>4辆（2辆为中心血站）</w:t>
      </w:r>
      <w:r>
        <w:rPr>
          <w:rFonts w:hint="eastAsia" w:ascii="仿宋_GB2312" w:hAnsi="仿宋_GB2312" w:eastAsia="仿宋_GB2312" w:cs="仿宋_GB2312"/>
          <w:sz w:val="32"/>
          <w:szCs w:val="32"/>
        </w:rPr>
        <w:t>为日常业务用车。2023年同上年一样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无公务用车购置费支出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b/>
          <w:bCs/>
          <w:sz w:val="32"/>
          <w:szCs w:val="32"/>
          <w:lang w:val="en-US" w:eastAsia="zh-CN"/>
        </w:rPr>
        <w:t>3万元，</w:t>
      </w:r>
      <w:r>
        <w:rPr>
          <w:rFonts w:hint="eastAsia" w:ascii="仿宋_GB2312" w:hAnsi="仿宋_GB2312" w:eastAsia="仿宋_GB2312" w:cs="仿宋_GB2312"/>
          <w:sz w:val="32"/>
          <w:szCs w:val="32"/>
          <w:lang w:eastAsia="zh-CN"/>
        </w:rPr>
        <w:t>较上年</w:t>
      </w:r>
      <w:r>
        <w:rPr>
          <w:rFonts w:hint="eastAsia" w:ascii="仿宋_GB2312" w:hAnsi="仿宋_GB2312" w:eastAsia="仿宋_GB2312" w:cs="仿宋_GB2312"/>
          <w:sz w:val="32"/>
          <w:szCs w:val="32"/>
        </w:rPr>
        <w:t>比减少</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原因是202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自本单位食堂起用起，所有接待在本单位接待，相对在外接待成本下降幅度较大。</w:t>
      </w:r>
      <w:r>
        <w:rPr>
          <w:rFonts w:hint="eastAsia" w:ascii="仿宋_GB2312" w:hAnsi="仿宋_GB2312" w:eastAsia="仿宋_GB2312" w:cs="仿宋_GB2312"/>
          <w:sz w:val="32"/>
          <w:szCs w:val="32"/>
        </w:rPr>
        <w:t>2023年国内公务接待</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332</w:t>
      </w:r>
      <w:r>
        <w:rPr>
          <w:rFonts w:hint="eastAsia" w:ascii="仿宋_GB2312" w:hAnsi="仿宋_GB2312" w:eastAsia="仿宋_GB2312" w:cs="仿宋_GB2312"/>
          <w:sz w:val="32"/>
          <w:szCs w:val="32"/>
        </w:rPr>
        <w:t>人次。</w:t>
      </w:r>
    </w:p>
    <w:p w14:paraId="3DABC6CA">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（2）会议费支出情况：</w:t>
      </w:r>
      <w:r>
        <w:rPr>
          <w:rFonts w:hint="eastAsia" w:ascii="仿宋_GB2312" w:hAnsi="仿宋" w:eastAsia="仿宋_GB2312"/>
          <w:sz w:val="32"/>
          <w:szCs w:val="32"/>
        </w:rPr>
        <w:t>2023年无会议费支出</w:t>
      </w:r>
      <w:r>
        <w:rPr>
          <w:rFonts w:hint="eastAsia" w:ascii="仿宋_GB2312" w:hAnsi="仿宋" w:eastAsia="仿宋_GB2312"/>
          <w:sz w:val="32"/>
          <w:szCs w:val="32"/>
          <w:lang w:eastAsia="zh-CN"/>
        </w:rPr>
        <w:t>，上年会议费</w:t>
      </w:r>
      <w:r>
        <w:rPr>
          <w:rFonts w:hint="eastAsia" w:ascii="仿宋_GB2312" w:hAnsi="仿宋" w:eastAsia="仿宋_GB2312"/>
          <w:sz w:val="32"/>
          <w:szCs w:val="32"/>
          <w:lang w:val="en-US" w:eastAsia="zh-CN"/>
        </w:rPr>
        <w:t>1.02万元，</w:t>
      </w:r>
    </w:p>
    <w:p w14:paraId="17C7B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（3）培训费支出情况：</w:t>
      </w:r>
      <w:r>
        <w:rPr>
          <w:rFonts w:hint="eastAsia" w:ascii="仿宋_GB2312" w:hAnsi="仿宋" w:eastAsia="仿宋_GB2312"/>
          <w:sz w:val="32"/>
          <w:szCs w:val="32"/>
        </w:rPr>
        <w:t>2023年培训费支出</w:t>
      </w:r>
      <w:r>
        <w:rPr>
          <w:rFonts w:hint="eastAsia" w:ascii="仿宋_GB2312" w:hAnsi="仿宋" w:eastAsia="仿宋_GB2312"/>
          <w:sz w:val="32"/>
          <w:szCs w:val="32"/>
          <w:lang w:val="en-US" w:eastAsia="zh-CN"/>
        </w:rPr>
        <w:t>7.98</w:t>
      </w:r>
      <w:r>
        <w:rPr>
          <w:rFonts w:hint="eastAsia" w:ascii="仿宋_GB2312" w:hAnsi="仿宋" w:eastAsia="仿宋_GB2312"/>
          <w:sz w:val="32"/>
          <w:szCs w:val="32"/>
        </w:rPr>
        <w:t>万元，</w:t>
      </w:r>
      <w:r>
        <w:rPr>
          <w:rFonts w:hint="eastAsia" w:ascii="仿宋_GB2312" w:hAnsi="仿宋" w:eastAsia="仿宋_GB2312"/>
          <w:sz w:val="32"/>
          <w:szCs w:val="32"/>
          <w:lang w:eastAsia="zh-CN"/>
        </w:rPr>
        <w:t>较上年</w:t>
      </w:r>
      <w:r>
        <w:rPr>
          <w:rFonts w:hint="eastAsia" w:ascii="仿宋_GB2312" w:hAnsi="仿宋" w:eastAsia="仿宋_GB2312"/>
          <w:sz w:val="32"/>
          <w:szCs w:val="32"/>
          <w:lang w:val="en-US" w:eastAsia="zh-CN"/>
        </w:rPr>
        <w:t>减少19.56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2022年上半年组织开展全市基本公共卫生服务相关培训，</w:t>
      </w:r>
      <w:r>
        <w:rPr>
          <w:rFonts w:hint="eastAsia" w:ascii="仿宋_GB2312" w:hAnsi="仿宋" w:eastAsia="仿宋_GB2312"/>
          <w:sz w:val="32"/>
          <w:szCs w:val="32"/>
        </w:rPr>
        <w:t>2023年组织培训人次、批次</w:t>
      </w:r>
      <w:r>
        <w:rPr>
          <w:rFonts w:hint="eastAsia" w:ascii="仿宋_GB2312" w:hAnsi="仿宋" w:eastAsia="仿宋_GB2312"/>
          <w:sz w:val="32"/>
          <w:szCs w:val="32"/>
          <w:lang w:eastAsia="zh-CN"/>
        </w:rPr>
        <w:t>，培训规模相对上年</w:t>
      </w:r>
      <w:r>
        <w:rPr>
          <w:rFonts w:hint="eastAsia" w:ascii="仿宋_GB2312" w:hAnsi="仿宋" w:eastAsia="仿宋_GB2312"/>
          <w:sz w:val="32"/>
          <w:szCs w:val="32"/>
        </w:rPr>
        <w:t>少。</w:t>
      </w:r>
    </w:p>
    <w:p w14:paraId="0E25B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 w:eastAsia="仿宋_GB2312"/>
          <w:sz w:val="32"/>
          <w:szCs w:val="32"/>
        </w:rPr>
        <w:t>重点经济分类支出中存在的问题及改进措施：年初预算无法提前计划住房补贴的金额，还有商品服务支出的各项经济支出分类，比如印花税等不可预料的经济科目，以上问题无改进方法。</w:t>
      </w:r>
    </w:p>
    <w:p w14:paraId="077FF62E">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4.财政拨款收入、支出分析。</w:t>
      </w:r>
    </w:p>
    <w:p w14:paraId="1DB81155">
      <w:pPr>
        <w:snapToGrid w:val="0"/>
        <w:spacing w:line="520" w:lineRule="exact"/>
        <w:ind w:firstLine="640" w:firstLineChars="200"/>
        <w:rPr>
          <w:rFonts w:hint="eastAsia" w:ascii="仿宋_GB2312" w:hAnsi="仿宋_GB2312" w:eastAsia="仿宋_GB2312" w:cs="仿宋_GB2312"/>
          <w:sz w:val="30"/>
          <w:szCs w:val="30"/>
          <w:lang w:val="en-US" w:eastAsia="zh-CN"/>
        </w:rPr>
      </w:pPr>
      <w:r>
        <w:rPr>
          <w:rFonts w:hint="eastAsia" w:ascii="仿宋_GB2312" w:hAnsi="仿宋" w:eastAsia="仿宋_GB2312"/>
          <w:sz w:val="32"/>
          <w:szCs w:val="32"/>
          <w:lang w:val="en-US" w:eastAsia="zh-CN"/>
        </w:rPr>
        <w:t>（1）收入：2023年本年收入6586.46万元，</w:t>
      </w:r>
      <w:r>
        <w:rPr>
          <w:rFonts w:hint="eastAsia" w:ascii="仿宋_GB2312" w:hAnsi="仿宋_GB2312" w:eastAsia="仿宋_GB2312" w:cs="仿宋_GB2312"/>
          <w:sz w:val="30"/>
          <w:szCs w:val="30"/>
        </w:rPr>
        <w:t>较上年增加</w:t>
      </w:r>
      <w:r>
        <w:rPr>
          <w:rFonts w:hint="eastAsia" w:ascii="仿宋_GB2312" w:hAnsi="仿宋_GB2312" w:eastAsia="仿宋_GB2312" w:cs="仿宋_GB2312"/>
          <w:sz w:val="30"/>
          <w:szCs w:val="30"/>
          <w:lang w:val="en-US" w:eastAsia="zh-CN"/>
        </w:rPr>
        <w:t>1753.93万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增长</w:t>
      </w:r>
      <w:r>
        <w:rPr>
          <w:rFonts w:hint="eastAsia" w:ascii="仿宋_GB2312" w:hAnsi="仿宋_GB2312" w:eastAsia="仿宋_GB2312" w:cs="仿宋_GB2312"/>
          <w:sz w:val="30"/>
          <w:szCs w:val="30"/>
          <w:lang w:val="en-US" w:eastAsia="zh-CN"/>
        </w:rPr>
        <w:t>36.29</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。增长主要原因：</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年度人员</w:t>
      </w:r>
      <w:r>
        <w:rPr>
          <w:rFonts w:hint="eastAsia" w:ascii="仿宋_GB2312" w:hAnsi="仿宋_GB2312" w:eastAsia="仿宋_GB2312" w:cs="仿宋_GB2312"/>
          <w:sz w:val="30"/>
          <w:szCs w:val="30"/>
          <w:lang w:eastAsia="zh-CN"/>
        </w:rPr>
        <w:t>增加，人员</w:t>
      </w:r>
      <w:r>
        <w:rPr>
          <w:rFonts w:hint="eastAsia" w:ascii="仿宋_GB2312" w:hAnsi="仿宋_GB2312" w:eastAsia="仿宋_GB2312" w:cs="仿宋_GB2312"/>
          <w:sz w:val="30"/>
          <w:szCs w:val="30"/>
        </w:rPr>
        <w:t>经费</w:t>
      </w:r>
      <w:r>
        <w:rPr>
          <w:rFonts w:hint="eastAsia" w:ascii="仿宋_GB2312" w:hAnsi="仿宋_GB2312" w:eastAsia="仿宋_GB2312" w:cs="仿宋_GB2312"/>
          <w:sz w:val="30"/>
          <w:szCs w:val="30"/>
          <w:lang w:eastAsia="zh-CN"/>
        </w:rPr>
        <w:t>相应</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项目进度执行较上年理想，项目资金执行较上年有增幅现象。</w:t>
      </w:r>
      <w:r>
        <w:rPr>
          <w:rFonts w:hint="eastAsia" w:ascii="仿宋_GB2312" w:hAnsi="仿宋" w:eastAsia="仿宋_GB2312"/>
          <w:sz w:val="32"/>
          <w:szCs w:val="32"/>
          <w:lang w:val="en-US" w:eastAsia="zh-CN"/>
        </w:rPr>
        <w:t>其中</w:t>
      </w:r>
      <w:r>
        <w:rPr>
          <w:rFonts w:hint="eastAsia" w:ascii="仿宋_GB2312" w:hAnsi="仿宋" w:eastAsia="仿宋_GB2312"/>
          <w:b/>
          <w:bCs/>
          <w:sz w:val="32"/>
          <w:szCs w:val="32"/>
          <w:lang w:val="en-US" w:eastAsia="zh-CN"/>
        </w:rPr>
        <w:t>财政拨款收入</w:t>
      </w:r>
      <w:r>
        <w:rPr>
          <w:rFonts w:hint="eastAsia" w:ascii="仿宋_GB2312" w:hAnsi="仿宋" w:eastAsia="仿宋_GB2312"/>
          <w:sz w:val="32"/>
          <w:szCs w:val="32"/>
          <w:lang w:val="en-US" w:eastAsia="zh-CN"/>
        </w:rPr>
        <w:t>6466.46万元，</w:t>
      </w:r>
      <w:r>
        <w:rPr>
          <w:rFonts w:hint="eastAsia" w:ascii="仿宋_GB2312" w:hAnsi="仿宋_GB2312" w:eastAsia="仿宋_GB2312" w:cs="仿宋_GB2312"/>
          <w:color w:val="000000"/>
          <w:sz w:val="30"/>
          <w:szCs w:val="30"/>
          <w:shd w:val="clear" w:color="auto" w:fill="FFFFFF"/>
        </w:rPr>
        <w:t>占总收入的</w:t>
      </w:r>
      <w:r>
        <w:rPr>
          <w:rFonts w:hint="eastAsia" w:ascii="仿宋_GB2312" w:hAnsi="仿宋_GB2312" w:eastAsia="仿宋_GB2312" w:cs="仿宋_GB2312"/>
          <w:color w:val="000000"/>
          <w:sz w:val="30"/>
          <w:szCs w:val="30"/>
          <w:shd w:val="clear" w:color="auto" w:fill="FFFFFF"/>
          <w:lang w:val="en-US" w:eastAsia="zh-CN"/>
        </w:rPr>
        <w:t>98.18</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sz w:val="30"/>
          <w:szCs w:val="30"/>
        </w:rPr>
        <w:t>较上年增加</w:t>
      </w:r>
      <w:r>
        <w:rPr>
          <w:rFonts w:hint="eastAsia" w:ascii="仿宋_GB2312" w:hAnsi="仿宋_GB2312" w:eastAsia="仿宋_GB2312" w:cs="仿宋_GB2312"/>
          <w:sz w:val="30"/>
          <w:szCs w:val="30"/>
          <w:lang w:val="en-US" w:eastAsia="zh-CN"/>
        </w:rPr>
        <w:t>1849.94万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增长</w:t>
      </w:r>
      <w:r>
        <w:rPr>
          <w:rFonts w:hint="eastAsia" w:ascii="仿宋_GB2312" w:hAnsi="仿宋_GB2312" w:eastAsia="仿宋_GB2312" w:cs="仿宋_GB2312"/>
          <w:sz w:val="30"/>
          <w:szCs w:val="30"/>
          <w:lang w:val="en-US" w:eastAsia="zh-CN"/>
        </w:rPr>
        <w:t>40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。增长主要原因：</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年度人员</w:t>
      </w:r>
      <w:r>
        <w:rPr>
          <w:rFonts w:hint="eastAsia" w:ascii="仿宋_GB2312" w:hAnsi="仿宋_GB2312" w:eastAsia="仿宋_GB2312" w:cs="仿宋_GB2312"/>
          <w:sz w:val="30"/>
          <w:szCs w:val="30"/>
          <w:lang w:eastAsia="zh-CN"/>
        </w:rPr>
        <w:t>增加，人员</w:t>
      </w:r>
      <w:r>
        <w:rPr>
          <w:rFonts w:hint="eastAsia" w:ascii="仿宋_GB2312" w:hAnsi="仿宋_GB2312" w:eastAsia="仿宋_GB2312" w:cs="仿宋_GB2312"/>
          <w:sz w:val="30"/>
          <w:szCs w:val="30"/>
        </w:rPr>
        <w:t>经费</w:t>
      </w:r>
      <w:r>
        <w:rPr>
          <w:rFonts w:hint="eastAsia" w:ascii="仿宋_GB2312" w:hAnsi="仿宋_GB2312" w:eastAsia="仿宋_GB2312" w:cs="仿宋_GB2312"/>
          <w:sz w:val="30"/>
          <w:szCs w:val="30"/>
          <w:lang w:eastAsia="zh-CN"/>
        </w:rPr>
        <w:t>相应</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项目进度执行较上年理想，项目资金执行较上年有增幅现象。</w:t>
      </w:r>
      <w:r>
        <w:rPr>
          <w:rFonts w:hint="eastAsia" w:ascii="仿宋_GB2312" w:hAnsi="仿宋" w:eastAsia="仿宋_GB2312"/>
          <w:b/>
          <w:bCs/>
          <w:sz w:val="32"/>
          <w:szCs w:val="32"/>
          <w:lang w:val="en-US" w:eastAsia="zh-CN"/>
        </w:rPr>
        <w:t>其他收入（援藏资金）</w:t>
      </w:r>
      <w:r>
        <w:rPr>
          <w:rFonts w:hint="eastAsia" w:ascii="仿宋_GB2312" w:hAnsi="仿宋" w:eastAsia="仿宋_GB2312"/>
          <w:sz w:val="32"/>
          <w:szCs w:val="32"/>
          <w:lang w:val="en-US" w:eastAsia="zh-CN"/>
        </w:rPr>
        <w:t>120万元，较上年减少96万元，</w:t>
      </w:r>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en-US" w:eastAsia="zh-CN"/>
        </w:rPr>
        <w:t>44.44.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下降原因：百名先天性心脏病儿童等大病救治工程</w:t>
      </w:r>
      <w:r>
        <w:rPr>
          <w:rFonts w:hint="eastAsia" w:ascii="仿宋_GB2312" w:hAnsi="仿宋_GB2312" w:eastAsia="仿宋_GB2312" w:cs="仿宋_GB2312"/>
          <w:sz w:val="30"/>
          <w:szCs w:val="30"/>
          <w:lang w:val="en-US" w:eastAsia="zh-CN"/>
        </w:rPr>
        <w:t>40万元不变， 粤林育才专项资金80万元较上年减少16万元，以及2023年度减少项目--基层医疗机构救护车及应急后勤保障设施设备采购项目80万元。</w:t>
      </w:r>
    </w:p>
    <w:p w14:paraId="5FD53675">
      <w:pPr>
        <w:pStyle w:val="4"/>
        <w:rPr>
          <w:rFonts w:hint="eastAsia"/>
          <w:lang w:val="en-US" w:eastAsia="zh-CN"/>
        </w:rPr>
      </w:pPr>
      <w:r>
        <w:drawing>
          <wp:inline distT="0" distB="0" distL="114300" distR="114300">
            <wp:extent cx="5268595" cy="2216785"/>
            <wp:effectExtent l="4445" t="4445" r="22860" b="7620"/>
            <wp:docPr id="41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869B85F">
      <w:pPr>
        <w:numPr>
          <w:ilvl w:val="0"/>
          <w:numId w:val="4"/>
        </w:numPr>
        <w:snapToGrid w:val="0"/>
        <w:spacing w:line="520" w:lineRule="exact"/>
        <w:ind w:firstLine="640" w:firstLineChars="200"/>
        <w:rPr>
          <w:rFonts w:hint="eastAsia" w:ascii="仿宋_GB2312" w:hAnsi="仿宋" w:eastAsia="仿宋_GB2312"/>
          <w:b/>
          <w:bCs/>
          <w:sz w:val="32"/>
          <w:szCs w:val="32"/>
          <w:lang w:val="en-US" w:eastAsia="zh-CN"/>
        </w:rPr>
      </w:pPr>
      <w:r>
        <w:rPr>
          <w:rFonts w:hint="eastAsia" w:ascii="仿宋_GB2312" w:hAnsi="仿宋_GB2312" w:eastAsia="仿宋_GB2312" w:cs="仿宋_GB2312"/>
          <w:sz w:val="32"/>
          <w:szCs w:val="32"/>
          <w:lang w:val="en-US" w:eastAsia="zh-CN"/>
        </w:rPr>
        <w:t>支出：</w:t>
      </w:r>
      <w:r>
        <w:rPr>
          <w:rFonts w:hint="eastAsia" w:ascii="仿宋_GB2312" w:hAnsi="仿宋" w:eastAsia="仿宋_GB2312"/>
          <w:sz w:val="32"/>
          <w:szCs w:val="32"/>
          <w:lang w:val="en-US" w:eastAsia="zh-CN"/>
        </w:rPr>
        <w:t>2023年本年支出7371.74万元，</w:t>
      </w:r>
      <w:r>
        <w:rPr>
          <w:rFonts w:hint="eastAsia" w:ascii="仿宋_GB2312" w:hAnsi="仿宋_GB2312" w:eastAsia="仿宋_GB2312" w:cs="仿宋_GB2312"/>
          <w:sz w:val="30"/>
          <w:szCs w:val="30"/>
        </w:rPr>
        <w:t>较上年增加</w:t>
      </w:r>
      <w:r>
        <w:rPr>
          <w:rFonts w:hint="eastAsia" w:ascii="仿宋_GB2312" w:hAnsi="仿宋_GB2312" w:eastAsia="仿宋_GB2312" w:cs="仿宋_GB2312"/>
          <w:sz w:val="30"/>
          <w:szCs w:val="30"/>
          <w:lang w:val="en-US" w:eastAsia="zh-CN"/>
        </w:rPr>
        <w:t>1958.68万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增长</w:t>
      </w:r>
      <w:r>
        <w:rPr>
          <w:rFonts w:hint="eastAsia" w:ascii="仿宋_GB2312" w:hAnsi="仿宋_GB2312" w:eastAsia="仿宋_GB2312" w:cs="仿宋_GB2312"/>
          <w:sz w:val="30"/>
          <w:szCs w:val="30"/>
          <w:lang w:val="en-US" w:eastAsia="zh-CN"/>
        </w:rPr>
        <w:t>36.18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。增长主要原因：</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项目进度执行较上年理想，项目资金执行较上年有增幅现象。</w:t>
      </w:r>
      <w:r>
        <w:rPr>
          <w:rFonts w:hint="eastAsia" w:ascii="仿宋_GB2312" w:hAnsi="仿宋" w:eastAsia="仿宋_GB2312"/>
          <w:b/>
          <w:bCs/>
          <w:sz w:val="32"/>
          <w:szCs w:val="32"/>
          <w:lang w:val="en-US" w:eastAsia="zh-CN"/>
        </w:rPr>
        <w:t>其中：</w:t>
      </w:r>
    </w:p>
    <w:p w14:paraId="18FBB6A3">
      <w:pPr>
        <w:numPr>
          <w:ilvl w:val="0"/>
          <w:numId w:val="0"/>
        </w:numPr>
        <w:snapToGrid w:val="0"/>
        <w:spacing w:line="52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基本支出1518.96万元，</w:t>
      </w:r>
      <w:r>
        <w:rPr>
          <w:rFonts w:hint="eastAsia" w:ascii="仿宋_GB2312" w:hAnsi="仿宋" w:eastAsia="仿宋_GB2312"/>
          <w:sz w:val="32"/>
          <w:szCs w:val="32"/>
          <w:lang w:val="en-US" w:eastAsia="zh-CN"/>
        </w:rPr>
        <w:t xml:space="preserve">占总支出的20.61%。较上年下降2.62%，主要2023年度为退休4人，相应的人员支出减少；  </w:t>
      </w:r>
    </w:p>
    <w:p w14:paraId="0AC54DB6">
      <w:pPr>
        <w:numPr>
          <w:ilvl w:val="0"/>
          <w:numId w:val="0"/>
        </w:numPr>
        <w:snapToGrid w:val="0"/>
        <w:spacing w:line="520" w:lineRule="exact"/>
        <w:ind w:firstLine="643" w:firstLineChars="200"/>
        <w:rPr>
          <w:rFonts w:hint="eastAsia" w:ascii="仿宋_GB2312" w:hAnsi="仿宋_GB2312" w:eastAsia="仿宋_GB2312" w:cs="仿宋_GB2312"/>
          <w:sz w:val="30"/>
          <w:szCs w:val="30"/>
          <w:lang w:val="en-US" w:eastAsia="zh-CN"/>
        </w:rPr>
      </w:pPr>
      <w:r>
        <w:rPr>
          <w:rFonts w:hint="eastAsia" w:ascii="仿宋_GB2312" w:hAnsi="仿宋" w:eastAsia="仿宋_GB2312"/>
          <w:b/>
          <w:bCs/>
          <w:sz w:val="32"/>
          <w:szCs w:val="32"/>
          <w:lang w:val="en-US" w:eastAsia="zh-CN"/>
        </w:rPr>
        <w:t>财政拨款项目支出</w:t>
      </w:r>
      <w:r>
        <w:rPr>
          <w:rFonts w:hint="eastAsia" w:ascii="仿宋_GB2312" w:hAnsi="仿宋" w:eastAsia="仿宋_GB2312"/>
          <w:sz w:val="32"/>
          <w:szCs w:val="32"/>
          <w:lang w:val="en-US" w:eastAsia="zh-CN"/>
        </w:rPr>
        <w:t>5801.3万元，占总支出的78.69%，较上年增长57.93%，</w:t>
      </w:r>
      <w:r>
        <w:rPr>
          <w:rFonts w:hint="eastAsia" w:ascii="仿宋_GB2312" w:hAnsi="仿宋_GB2312" w:eastAsia="仿宋_GB2312" w:cs="仿宋_GB2312"/>
          <w:b/>
          <w:bCs/>
          <w:sz w:val="30"/>
          <w:szCs w:val="30"/>
          <w:lang w:eastAsia="zh-CN"/>
        </w:rPr>
        <w:t>增长原因：</w:t>
      </w:r>
      <w:r>
        <w:rPr>
          <w:rFonts w:hint="eastAsia" w:ascii="仿宋_GB2312" w:hAnsi="仿宋_GB2312" w:eastAsia="仿宋_GB2312" w:cs="仿宋_GB2312"/>
          <w:sz w:val="30"/>
          <w:szCs w:val="30"/>
          <w:lang w:val="en-US" w:eastAsia="zh-CN"/>
        </w:rPr>
        <w:t>项目支出较上年度增加明显，主要是疾控中心建设项目支出1113.65万元；传染病医院建设项目和应急体系建设项目支出810.13万元。</w:t>
      </w:r>
    </w:p>
    <w:p w14:paraId="6D678E53">
      <w:pPr>
        <w:numPr>
          <w:ilvl w:val="0"/>
          <w:numId w:val="0"/>
        </w:numPr>
        <w:snapToGrid w:val="0"/>
        <w:spacing w:line="520" w:lineRule="exact"/>
        <w:ind w:firstLine="643" w:firstLineChars="200"/>
        <w:rPr>
          <w:rFonts w:hint="eastAsia" w:ascii="仿宋_GB2312" w:hAnsi="仿宋_GB2312" w:eastAsia="仿宋_GB2312" w:cs="仿宋_GB2312"/>
          <w:sz w:val="30"/>
          <w:szCs w:val="30"/>
          <w:lang w:val="en-US" w:eastAsia="zh-CN"/>
        </w:rPr>
      </w:pPr>
      <w:r>
        <w:rPr>
          <w:rFonts w:hint="eastAsia" w:ascii="仿宋_GB2312" w:hAnsi="仿宋" w:eastAsia="仿宋_GB2312"/>
          <w:b/>
          <w:bCs/>
          <w:sz w:val="32"/>
          <w:szCs w:val="32"/>
          <w:lang w:val="en-US" w:eastAsia="zh-CN"/>
        </w:rPr>
        <w:t>其他支出（</w:t>
      </w:r>
      <w:r>
        <w:rPr>
          <w:rFonts w:hint="eastAsia" w:ascii="仿宋_GB2312" w:hAnsi="仿宋" w:eastAsia="仿宋_GB2312"/>
          <w:sz w:val="32"/>
          <w:szCs w:val="32"/>
          <w:lang w:val="en-US" w:eastAsia="zh-CN"/>
        </w:rPr>
        <w:t>援藏项目）51.47万元，占总支出的0.7%，较上年减少128.61万元，</w:t>
      </w:r>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en-US" w:eastAsia="zh-CN"/>
        </w:rPr>
        <w:t>71.42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下降主要原因：</w:t>
      </w:r>
      <w:r>
        <w:rPr>
          <w:rFonts w:hint="eastAsia" w:ascii="仿宋_GB2312" w:hAnsi="仿宋_GB2312" w:eastAsia="仿宋_GB2312" w:cs="仿宋_GB2312"/>
          <w:sz w:val="30"/>
          <w:szCs w:val="30"/>
          <w:lang w:val="en-US" w:eastAsia="zh-CN"/>
        </w:rPr>
        <w:t>2022年度的基层医疗机构救护车及应急后勤保障设施设备采购项目80万元的支出，在2023年度内不存在此项目支出。</w:t>
      </w:r>
    </w:p>
    <w:p w14:paraId="33EBEBBE">
      <w:pPr>
        <w:pStyle w:val="4"/>
      </w:pPr>
      <w:r>
        <w:drawing>
          <wp:inline distT="0" distB="0" distL="114300" distR="114300">
            <wp:extent cx="5272405" cy="2440305"/>
            <wp:effectExtent l="4445" t="4445" r="19050" b="12700"/>
            <wp:docPr id="107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B56A7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按照功能科目财政拨款支出明细如下：</w:t>
      </w:r>
    </w:p>
    <w:p w14:paraId="19B7536F">
      <w:pPr>
        <w:pStyle w:val="7"/>
        <w:numPr>
          <w:ilvl w:val="0"/>
          <w:numId w:val="5"/>
        </w:numPr>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一般公共服务支出</w:t>
      </w:r>
      <w:r>
        <w:rPr>
          <w:rFonts w:hint="eastAsia" w:ascii="仿宋_GB2312" w:hAnsi="仿宋_GB2312" w:eastAsia="仿宋_GB2312" w:cs="仿宋_GB2312"/>
          <w:kern w:val="2"/>
          <w:sz w:val="32"/>
          <w:szCs w:val="32"/>
          <w:lang w:val="en-US" w:eastAsia="zh-CN"/>
        </w:rPr>
        <w:t>62.53万元；</w:t>
      </w:r>
    </w:p>
    <w:p w14:paraId="29FDF194">
      <w:pPr>
        <w:pStyle w:val="7"/>
        <w:numPr>
          <w:ilvl w:val="0"/>
          <w:numId w:val="5"/>
        </w:numPr>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社会保障和就业支出</w:t>
      </w:r>
      <w:r>
        <w:rPr>
          <w:rFonts w:hint="eastAsia" w:ascii="仿宋_GB2312" w:hAnsi="仿宋_GB2312" w:eastAsia="仿宋_GB2312" w:cs="仿宋_GB2312"/>
          <w:kern w:val="2"/>
          <w:sz w:val="32"/>
          <w:szCs w:val="32"/>
          <w:lang w:val="en-US" w:eastAsia="zh-CN"/>
        </w:rPr>
        <w:t>186.03</w:t>
      </w:r>
      <w:r>
        <w:rPr>
          <w:rFonts w:hint="eastAsia" w:ascii="仿宋_GB2312" w:hAnsi="仿宋_GB2312" w:eastAsia="仿宋_GB2312" w:cs="仿宋_GB2312"/>
          <w:kern w:val="2"/>
          <w:sz w:val="32"/>
          <w:szCs w:val="32"/>
        </w:rPr>
        <w:t xml:space="preserve">万元; </w:t>
      </w:r>
    </w:p>
    <w:p w14:paraId="3AEB6D77">
      <w:pPr>
        <w:pStyle w:val="7"/>
        <w:numPr>
          <w:ilvl w:val="0"/>
          <w:numId w:val="5"/>
        </w:numPr>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卫生健康支出(类)公共卫生</w:t>
      </w:r>
      <w:r>
        <w:rPr>
          <w:rFonts w:hint="eastAsia" w:ascii="仿宋_GB2312" w:hAnsi="仿宋_GB2312" w:eastAsia="仿宋_GB2312" w:cs="仿宋_GB2312"/>
          <w:kern w:val="2"/>
          <w:sz w:val="32"/>
          <w:szCs w:val="32"/>
          <w:lang w:val="en-US" w:eastAsia="zh-CN"/>
        </w:rPr>
        <w:t>6145.73</w:t>
      </w:r>
      <w:r>
        <w:rPr>
          <w:rFonts w:hint="eastAsia" w:ascii="仿宋_GB2312" w:hAnsi="仿宋_GB2312" w:eastAsia="仿宋_GB2312" w:cs="仿宋_GB2312"/>
          <w:kern w:val="2"/>
          <w:sz w:val="32"/>
          <w:szCs w:val="32"/>
        </w:rPr>
        <w:t>万元；</w:t>
      </w:r>
    </w:p>
    <w:p w14:paraId="1623B265">
      <w:pPr>
        <w:pStyle w:val="7"/>
        <w:numPr>
          <w:ilvl w:val="0"/>
          <w:numId w:val="5"/>
        </w:numPr>
        <w:spacing w:before="0" w:beforeAutospacing="0" w:after="0" w:afterAutospacing="0" w:line="560" w:lineRule="exact"/>
        <w:ind w:firstLine="640" w:firstLineChars="200"/>
        <w:jc w:val="both"/>
        <w:rPr>
          <w:rFonts w:hint="eastAsia"/>
          <w:lang w:val="en-US" w:eastAsia="zh-CN"/>
        </w:rPr>
      </w:pPr>
      <w:r>
        <w:rPr>
          <w:rFonts w:hint="eastAsia" w:ascii="仿宋_GB2312" w:hAnsi="仿宋_GB2312" w:eastAsia="仿宋_GB2312" w:cs="仿宋_GB2312"/>
          <w:kern w:val="2"/>
          <w:sz w:val="32"/>
          <w:szCs w:val="32"/>
        </w:rPr>
        <w:t>住房保障支出(类)</w:t>
      </w:r>
      <w:r>
        <w:rPr>
          <w:rFonts w:hint="eastAsia" w:ascii="仿宋_GB2312" w:hAnsi="仿宋_GB2312" w:eastAsia="仿宋_GB2312" w:cs="仿宋_GB2312"/>
          <w:kern w:val="2"/>
          <w:sz w:val="32"/>
          <w:szCs w:val="32"/>
          <w:lang w:val="en-US" w:eastAsia="zh-CN"/>
        </w:rPr>
        <w:t>165.31</w:t>
      </w:r>
      <w:r>
        <w:rPr>
          <w:rFonts w:hint="eastAsia" w:ascii="仿宋_GB2312" w:hAnsi="仿宋_GB2312" w:eastAsia="仿宋_GB2312" w:cs="仿宋_GB2312"/>
          <w:kern w:val="2"/>
          <w:sz w:val="32"/>
          <w:szCs w:val="32"/>
        </w:rPr>
        <w:t>万元;</w:t>
      </w:r>
    </w:p>
    <w:p w14:paraId="71A18E0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5.非财政拨款收入分析。</w:t>
      </w:r>
    </w:p>
    <w:p w14:paraId="7F2D7E19">
      <w:pPr>
        <w:ind w:firstLine="64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非财政拨款收入情况</w:t>
      </w:r>
      <w:r>
        <w:rPr>
          <w:rFonts w:hint="eastAsia" w:ascii="仿宋_GB2312" w:hAnsi="仿宋_GB2312" w:eastAsia="仿宋_GB2312" w:cs="仿宋_GB2312"/>
          <w:sz w:val="32"/>
          <w:szCs w:val="32"/>
          <w:lang w:val="en-US" w:eastAsia="zh-CN"/>
        </w:rPr>
        <w:t>120万元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96万元，</w:t>
      </w:r>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en-US" w:eastAsia="zh-CN"/>
        </w:rPr>
        <w:t>44.44.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下降原因：百名先天性心脏病儿童等大病救治工程</w:t>
      </w:r>
      <w:r>
        <w:rPr>
          <w:rFonts w:hint="eastAsia" w:ascii="仿宋_GB2312" w:hAnsi="仿宋_GB2312" w:eastAsia="仿宋_GB2312" w:cs="仿宋_GB2312"/>
          <w:sz w:val="30"/>
          <w:szCs w:val="30"/>
          <w:lang w:val="en-US" w:eastAsia="zh-CN"/>
        </w:rPr>
        <w:t>40万元不变， 粤林育才专项资金80万元较上年减少16万元，以及2023年度减少项目--基层医疗机构救护车及应急后勤保障设施设备采购项目80万元。</w:t>
      </w:r>
    </w:p>
    <w:p w14:paraId="1C9A2E06">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（三）年末结转和结余情况。</w:t>
      </w:r>
    </w:p>
    <w:p w14:paraId="786FAAC3">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2023年度结转和结余资金情况</w:t>
      </w:r>
    </w:p>
    <w:p w14:paraId="55CAE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归集调入资金为995.14万元，其中</w:t>
      </w:r>
      <w:r>
        <w:rPr>
          <w:rFonts w:hint="eastAsia" w:ascii="仿宋_GB2312" w:hAnsi="仿宋_GB2312" w:eastAsia="仿宋_GB2312" w:cs="仿宋_GB2312"/>
          <w:sz w:val="32"/>
          <w:szCs w:val="32"/>
        </w:rPr>
        <w:t>财政拨款结转结余</w:t>
      </w:r>
      <w:r>
        <w:rPr>
          <w:rFonts w:hint="eastAsia" w:ascii="仿宋_GB2312" w:hAnsi="仿宋_GB2312" w:eastAsia="仿宋_GB2312" w:cs="仿宋_GB2312"/>
          <w:sz w:val="32"/>
          <w:szCs w:val="32"/>
          <w:lang w:val="en-US" w:eastAsia="zh-CN"/>
        </w:rPr>
        <w:t>853.81万元（政府基金预算财政拨款810.13万地、一般公共预算财政拨款43.68万元），目前完成支出。</w:t>
      </w:r>
      <w:r>
        <w:rPr>
          <w:rFonts w:hint="eastAsia" w:ascii="仿宋_GB2312" w:hAnsi="仿宋_GB2312" w:eastAsia="仿宋_GB2312" w:cs="仿宋_GB2312"/>
          <w:sz w:val="32"/>
          <w:szCs w:val="32"/>
        </w:rPr>
        <w:t>非财政拨款结转结余</w:t>
      </w:r>
      <w:r>
        <w:rPr>
          <w:rFonts w:hint="eastAsia" w:ascii="仿宋_GB2312" w:hAnsi="仿宋_GB2312" w:eastAsia="仿宋_GB2312" w:cs="仿宋_GB2312"/>
          <w:sz w:val="32"/>
          <w:szCs w:val="32"/>
          <w:lang w:val="en-US" w:eastAsia="zh-CN"/>
        </w:rPr>
        <w:t>141.33万元（</w:t>
      </w:r>
      <w:r>
        <w:rPr>
          <w:rFonts w:hint="eastAsia" w:ascii="仿宋_GB2312" w:hAnsi="仿宋_GB2312" w:eastAsia="仿宋_GB2312" w:cs="仿宋_GB2312"/>
          <w:sz w:val="30"/>
          <w:szCs w:val="30"/>
          <w:lang w:eastAsia="zh-CN"/>
        </w:rPr>
        <w:t>百名先天性心脏病儿童等大病救治工程</w:t>
      </w:r>
      <w:r>
        <w:rPr>
          <w:rFonts w:hint="eastAsia" w:ascii="仿宋_GB2312" w:hAnsi="仿宋_GB2312" w:eastAsia="仿宋_GB2312" w:cs="仿宋_GB2312"/>
          <w:sz w:val="30"/>
          <w:szCs w:val="30"/>
          <w:lang w:val="en-US" w:eastAsia="zh-CN"/>
        </w:rPr>
        <w:t>30.01万元、粤林育才专项资金80.03万元、</w:t>
      </w:r>
      <w:r>
        <w:rPr>
          <w:rFonts w:hint="eastAsia" w:ascii="仿宋_GB2312" w:hAnsi="仿宋_GB2312" w:eastAsia="仿宋_GB2312" w:cs="仿宋_GB2312"/>
          <w:sz w:val="32"/>
          <w:szCs w:val="32"/>
          <w:lang w:val="en-US" w:eastAsia="zh-CN"/>
        </w:rPr>
        <w:t>援藏工作经费0.29万元、援藏基层医疗机构救护车及应急设备采购项目30万元），目前完成支出51.47万元。</w:t>
      </w:r>
    </w:p>
    <w:p w14:paraId="17C7C7CD">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消化结转和结余的对策</w:t>
      </w:r>
    </w:p>
    <w:p w14:paraId="7B38A31F">
      <w:pPr>
        <w:ind w:firstLine="640" w:firstLineChars="200"/>
        <w:rPr>
          <w:rFonts w:hint="eastAsia" w:eastAsia="仿宋_GB2312"/>
          <w:lang w:eastAsia="zh-CN"/>
        </w:rPr>
      </w:pPr>
      <w:r>
        <w:rPr>
          <w:rFonts w:hint="eastAsia" w:ascii="仿宋_GB2312" w:hAnsi="仿宋_GB2312" w:eastAsia="仿宋_GB2312" w:cs="仿宋_GB2312"/>
          <w:sz w:val="32"/>
          <w:szCs w:val="32"/>
          <w:lang w:val="en-US" w:eastAsia="zh-CN"/>
        </w:rPr>
        <w:t>2023年度结转和结余资金209.86万元，全部为</w:t>
      </w:r>
      <w:r>
        <w:rPr>
          <w:rFonts w:hint="eastAsia" w:ascii="仿宋_GB2312" w:hAnsi="仿宋_GB2312" w:eastAsia="仿宋_GB2312" w:cs="仿宋_GB2312"/>
          <w:sz w:val="32"/>
          <w:szCs w:val="32"/>
        </w:rPr>
        <w:t>非财政拨款结转结余</w:t>
      </w:r>
      <w:r>
        <w:rPr>
          <w:rFonts w:hint="eastAsia" w:ascii="仿宋_GB2312" w:hAnsi="仿宋_GB2312" w:eastAsia="仿宋_GB2312" w:cs="仿宋_GB2312"/>
          <w:sz w:val="32"/>
          <w:szCs w:val="32"/>
          <w:lang w:eastAsia="zh-CN"/>
        </w:rPr>
        <w:t>。按照援藏项目内容，做好宣传、按照</w:t>
      </w:r>
      <w:r>
        <w:rPr>
          <w:rFonts w:hint="eastAsia" w:ascii="仿宋_GB2312" w:hAnsi="仿宋_GB2312" w:eastAsia="仿宋_GB2312" w:cs="仿宋_GB2312"/>
          <w:sz w:val="30"/>
          <w:szCs w:val="30"/>
          <w:lang w:eastAsia="zh-CN"/>
        </w:rPr>
        <w:t>百名先天性心脏病儿童等大病救治资金拨付要求，做到应报尽报，及时报销。鼓励各医疗机构医务人员参加技能提升培训力度，提升医务人员的服务能力水平，将</w:t>
      </w:r>
      <w:r>
        <w:rPr>
          <w:rFonts w:hint="eastAsia" w:ascii="仿宋_GB2312" w:hAnsi="仿宋_GB2312" w:eastAsia="仿宋_GB2312" w:cs="仿宋_GB2312"/>
          <w:sz w:val="30"/>
          <w:szCs w:val="30"/>
          <w:lang w:val="en-US" w:eastAsia="zh-CN"/>
        </w:rPr>
        <w:t>粤林育才专项资金发挥最大效益。</w:t>
      </w:r>
    </w:p>
    <w:p w14:paraId="795AC511">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（四）与预算支出相关的其他指标分析。</w:t>
      </w:r>
    </w:p>
    <w:p w14:paraId="20EFED06">
      <w:pPr>
        <w:pStyle w:val="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2023年末货币资金</w:t>
      </w:r>
      <w:r>
        <w:rPr>
          <w:rFonts w:hint="eastAsia" w:ascii="仿宋_GB2312" w:hAnsi="仿宋_GB2312" w:eastAsia="仿宋_GB2312" w:cs="仿宋_GB2312"/>
          <w:sz w:val="32"/>
          <w:szCs w:val="32"/>
          <w:lang w:val="en-US" w:eastAsia="zh-CN"/>
        </w:rPr>
        <w:t>519.82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上年增加</w:t>
      </w:r>
      <w:r>
        <w:rPr>
          <w:rFonts w:hint="eastAsia" w:ascii="仿宋_GB2312" w:hAnsi="仿宋_GB2312" w:eastAsia="仿宋_GB2312" w:cs="仿宋_GB2312"/>
          <w:sz w:val="32"/>
          <w:szCs w:val="32"/>
          <w:lang w:val="en-US" w:eastAsia="zh-CN"/>
        </w:rPr>
        <w:t>97.29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原因是基本户2023年收到援藏资金120万元，未形成支出</w:t>
      </w:r>
      <w:r>
        <w:rPr>
          <w:rFonts w:hint="eastAsia" w:ascii="仿宋_GB2312" w:hAnsi="仿宋_GB2312" w:eastAsia="仿宋_GB2312" w:cs="仿宋_GB2312"/>
          <w:sz w:val="32"/>
          <w:szCs w:val="32"/>
          <w:lang w:eastAsia="zh-CN"/>
        </w:rPr>
        <w:t>。</w:t>
      </w:r>
    </w:p>
    <w:p w14:paraId="5D209FE9">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截止2023年12月31日无待偿还的债务、待回购的股权投资和应付工程物资款等。</w:t>
      </w:r>
    </w:p>
    <w:p w14:paraId="32E236BF">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截至2023年12月31日林芝市卫生健康委员会固定资产原值 2725.79万元。其中房屋价值  1056.89 万元、车辆7辆，价值 298.38万元、其他资产1370.52万万元。</w:t>
      </w:r>
    </w:p>
    <w:p w14:paraId="592447D9">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（五）重点项目预算绩效目标完成情况。</w:t>
      </w:r>
    </w:p>
    <w:p w14:paraId="22FAED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概述项目绩效目标完成情况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2023年本单位</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项目均在立项时设立了绩效目标，按照设立的绩效目标，工作指标</w:t>
      </w:r>
      <w:r>
        <w:rPr>
          <w:rFonts w:hint="eastAsia" w:ascii="仿宋_GB2312" w:hAnsi="仿宋_GB2312" w:eastAsia="仿宋_GB2312" w:cs="仿宋_GB2312"/>
          <w:sz w:val="32"/>
          <w:szCs w:val="32"/>
          <w:lang w:eastAsia="zh-CN"/>
        </w:rPr>
        <w:t>均已</w:t>
      </w:r>
      <w:r>
        <w:rPr>
          <w:rFonts w:hint="eastAsia" w:ascii="仿宋_GB2312" w:hAnsi="仿宋_GB2312" w:eastAsia="仿宋_GB2312" w:cs="仿宋_GB2312"/>
          <w:sz w:val="32"/>
          <w:szCs w:val="32"/>
        </w:rPr>
        <w:t>完成。在预算一体化系统预算绩效模块，项目运行监控</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在年底完成绩效目标</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13个，其他4个均未完成，其中：</w:t>
      </w:r>
      <w:r>
        <w:rPr>
          <w:rFonts w:hint="eastAsia" w:ascii="仿宋_GB2312" w:hAnsi="仿宋_GB2312" w:eastAsia="仿宋_GB2312" w:cs="仿宋_GB2312"/>
          <w:sz w:val="32"/>
          <w:szCs w:val="32"/>
        </w:rPr>
        <w:t>公立医院信息化建设项目（林财社指［2019］60号）</w:t>
      </w:r>
      <w:r>
        <w:rPr>
          <w:rFonts w:hint="eastAsia" w:ascii="仿宋_GB2312" w:hAnsi="仿宋_GB2312" w:eastAsia="仿宋_GB2312" w:cs="仿宋_GB2312"/>
          <w:sz w:val="32"/>
          <w:szCs w:val="32"/>
          <w:lang w:val="en-US" w:eastAsia="zh-CN"/>
        </w:rPr>
        <w:t>456.84万元，因项目在2023年进行终验时，相关功能未实现，未能完成终验。</w:t>
      </w:r>
      <w:r>
        <w:rPr>
          <w:rFonts w:hint="eastAsia" w:ascii="仿宋_GB2312" w:hAnsi="仿宋_GB2312" w:eastAsia="仿宋_GB2312" w:cs="仿宋_GB2312"/>
          <w:sz w:val="32"/>
          <w:szCs w:val="32"/>
        </w:rPr>
        <w:t>健康云、“三区三州”系统运维费</w:t>
      </w:r>
      <w:r>
        <w:rPr>
          <w:rFonts w:hint="eastAsia" w:ascii="仿宋_GB2312" w:hAnsi="仿宋_GB2312" w:eastAsia="仿宋_GB2312" w:cs="仿宋_GB2312"/>
          <w:sz w:val="32"/>
          <w:szCs w:val="32"/>
          <w:lang w:val="en-US" w:eastAsia="zh-CN"/>
        </w:rPr>
        <w:t>70万元，因</w:t>
      </w:r>
      <w:r>
        <w:rPr>
          <w:rFonts w:hint="eastAsia" w:ascii="仿宋_GB2312" w:hAnsi="仿宋_GB2312" w:eastAsia="仿宋_GB2312" w:cs="仿宋_GB2312"/>
          <w:sz w:val="32"/>
          <w:szCs w:val="32"/>
        </w:rPr>
        <w:t>公立医院信息化建设项目</w:t>
      </w:r>
      <w:r>
        <w:rPr>
          <w:rFonts w:hint="eastAsia" w:ascii="仿宋_GB2312" w:hAnsi="仿宋_GB2312" w:eastAsia="仿宋_GB2312" w:cs="仿宋_GB2312"/>
          <w:sz w:val="32"/>
          <w:szCs w:val="32"/>
          <w:lang w:eastAsia="zh-CN"/>
        </w:rPr>
        <w:t>未能完成终验，导致</w:t>
      </w:r>
      <w:r>
        <w:rPr>
          <w:rFonts w:hint="eastAsia" w:ascii="仿宋_GB2312" w:hAnsi="仿宋_GB2312" w:eastAsia="仿宋_GB2312" w:cs="仿宋_GB2312"/>
          <w:sz w:val="32"/>
          <w:szCs w:val="32"/>
        </w:rPr>
        <w:t>健康云、“三区三州”系统运维费</w:t>
      </w:r>
      <w:r>
        <w:rPr>
          <w:rFonts w:hint="eastAsia" w:ascii="仿宋_GB2312" w:hAnsi="仿宋_GB2312" w:eastAsia="仿宋_GB2312" w:cs="仿宋_GB2312"/>
          <w:sz w:val="32"/>
          <w:szCs w:val="32"/>
          <w:lang w:eastAsia="zh-CN"/>
        </w:rPr>
        <w:t>项目无法执行。</w:t>
      </w:r>
      <w:r>
        <w:rPr>
          <w:rFonts w:hint="eastAsia" w:ascii="仿宋_GB2312" w:hAnsi="仿宋_GB2312" w:eastAsia="仿宋_GB2312" w:cs="仿宋_GB2312"/>
          <w:sz w:val="32"/>
          <w:szCs w:val="32"/>
        </w:rPr>
        <w:t>2021年卫生健康领域第一批中央基建投资（疾控中心建设项目）</w:t>
      </w:r>
      <w:r>
        <w:rPr>
          <w:rFonts w:hint="eastAsia" w:ascii="仿宋_GB2312" w:hAnsi="仿宋_GB2312" w:eastAsia="仿宋_GB2312" w:cs="仿宋_GB2312"/>
          <w:sz w:val="32"/>
          <w:szCs w:val="32"/>
          <w:lang w:val="en-US" w:eastAsia="zh-CN"/>
        </w:rPr>
        <w:t>1476.57万元、该项目信息化系统还未终验。</w:t>
      </w:r>
      <w:r>
        <w:rPr>
          <w:rFonts w:hint="eastAsia" w:ascii="仿宋_GB2312" w:hAnsi="仿宋_GB2312" w:eastAsia="仿宋_GB2312" w:cs="仿宋_GB2312"/>
          <w:sz w:val="32"/>
          <w:szCs w:val="32"/>
        </w:rPr>
        <w:t>重大传染病防控补助资金</w:t>
      </w:r>
      <w:r>
        <w:rPr>
          <w:rFonts w:hint="eastAsia" w:ascii="仿宋_GB2312" w:hAnsi="仿宋_GB2312" w:eastAsia="仿宋_GB2312" w:cs="仿宋_GB2312"/>
          <w:sz w:val="32"/>
          <w:szCs w:val="32"/>
          <w:lang w:val="en-US" w:eastAsia="zh-CN"/>
        </w:rPr>
        <w:t>80万元，应该项目实施条件不成熟，项目未能实施，资金于年度上缴国库</w:t>
      </w:r>
      <w:r>
        <w:rPr>
          <w:rFonts w:hint="eastAsia" w:ascii="仿宋_GB2312" w:hAnsi="仿宋_GB2312" w:eastAsia="仿宋_GB2312" w:cs="仿宋_GB2312"/>
          <w:sz w:val="32"/>
          <w:szCs w:val="32"/>
        </w:rPr>
        <w:t>。</w:t>
      </w:r>
    </w:p>
    <w:p w14:paraId="412A52D0">
      <w:pPr>
        <w:pStyle w:val="4"/>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市财政局聘请第三方公司（陕西丰汇韵嘉会计师事务所合伙企业（普通合伙）对林芝市卫生健康委员会2023年度项目支出进行绩效评价，重点项目名称：疾控中心建设、重大传染病防控资金、疫情防控财力补助资金（核酸检测及耗材费用）。</w:t>
      </w:r>
    </w:p>
    <w:p w14:paraId="1E423960">
      <w:pPr>
        <w:pStyle w:val="4"/>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内容及用途：1.疾控中心建设：实验楼建设面积3700平方米，新建实验楼2500平方米，改造面积1200平方米及附属设施P2+设备、移动P2实验室等设备建设，完成疾控中心项目建设，提升疾控机构能力。2.重大传染病防控经费：重大传染病防控主要包括纳入国家免疫规划的常规免疫及补充免疫，艾滋病、结核病、血吸虫病、包虫病防控，精神心理疾病综合管理、重大慢性病防控管理模式和适宜技术探索、疾病及危害因素监测等全国性或跨区域的重大疾病防控内容。重大传染病防控补助资金主要用于药品治疗等需方补助和医疗卫生机构开展随访管理，加强实验室建设和设备配置能力建设，以及开展相关工作所需经费等支出。3.疫情防控财力补助资金（核酸检测及耗材费用）：用于支付疫情期间核酸检测及耗材费用。</w:t>
      </w:r>
    </w:p>
    <w:p w14:paraId="341703D6">
      <w:pPr>
        <w:pStyle w:val="4"/>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最后评价结果：1.疾控中心建设项目：综合评价得分78分，整体绩效等级为“良好”。2.重大传染病防控资金：综合评价得分52分，整体绩效等级为“差”。3.疫情防控财力补助资金（核酸检测及耗材费用）：综合评价得分85分，整体绩效等级为“良好”。</w:t>
      </w:r>
    </w:p>
    <w:p w14:paraId="2680E88F">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（六）当年预算执行及绩效管理中存在问题、原因及改进措施。</w:t>
      </w:r>
    </w:p>
    <w:p w14:paraId="069B0332">
      <w:pPr>
        <w:pStyle w:val="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2023年转移支付资金到位时无使用方案，导致预算绩效目标设置不够准确，同时支出进度缓慢。改进措施：希望</w:t>
      </w:r>
      <w:r>
        <w:rPr>
          <w:rFonts w:hint="eastAsia" w:ascii="仿宋_GB2312" w:hAnsi="仿宋_GB2312" w:eastAsia="仿宋_GB2312" w:cs="仿宋_GB2312"/>
          <w:sz w:val="32"/>
          <w:szCs w:val="32"/>
          <w:lang w:eastAsia="zh-CN"/>
        </w:rPr>
        <w:t>自治区层面的财政部门与卫生部门加强沟通、争取下达资金的指标时将自治区卫生部门的分配方案做为附件一并下达，提升基层资金分配的及时性、精准性，提升资金支出进度，尽可能发挥资金的效益。</w:t>
      </w:r>
    </w:p>
    <w:p w14:paraId="528893C0">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(七）机关运行经费执行情况说明</w:t>
      </w:r>
    </w:p>
    <w:p w14:paraId="6DB0DD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基本支出1518.96万元。人员类1394.32万元，其中：基本工资215.48万元、津贴补贴700.24万元、奖金73.35万元、伙食补助33.12万元、机关事业单位基本养老保险缴费146.98万元、职工基本医疗保险缴费71.65万元、公务员医疗补助缴费10.81万元、其他社会保障缴费2.38万元、住房公积金105.97万元、医疗费0.2万元、其他工资福利支出34.14万元、运行类85.02万元，其中：办公费10.06万元、印刷费0.12万元、水费0.8万元、电费11万元、邮电费2.66万元、物业管理费0.26万元、差旅费9.11万元、维修（护）费1.06万元、租赁费0.18万元、</w:t>
      </w:r>
      <w:r>
        <w:rPr>
          <w:rFonts w:hint="default" w:ascii="仿宋_GB2312" w:hAnsi="仿宋_GB2312" w:eastAsia="仿宋_GB2312" w:cs="仿宋_GB2312"/>
          <w:color w:val="000000"/>
          <w:sz w:val="32"/>
          <w:szCs w:val="32"/>
          <w:highlight w:val="none"/>
          <w:lang w:val="en-US" w:eastAsia="zh-CN"/>
        </w:rPr>
        <w:t>公务接待费</w:t>
      </w:r>
      <w:r>
        <w:rPr>
          <w:rFonts w:hint="eastAsia" w:ascii="仿宋_GB2312" w:hAnsi="仿宋_GB2312" w:eastAsia="仿宋_GB2312" w:cs="仿宋_GB2312"/>
          <w:color w:val="000000"/>
          <w:sz w:val="32"/>
          <w:szCs w:val="32"/>
          <w:highlight w:val="none"/>
          <w:lang w:val="en-US" w:eastAsia="zh-CN"/>
        </w:rPr>
        <w:t>3万元、委托业务费0.35万元、工会经费19万元、公务用车运行维护费18.55万元、其他商品和服务支出8.87万元，对个人和家庭的补助39.36万元：生活补助32.1万元、其他对个人和家庭的补助支出7.26万元，资本类0.26万元：办公设备购置0.07万元、专用设备购置0.19万元。</w:t>
      </w:r>
    </w:p>
    <w:p w14:paraId="7D294413">
      <w:pPr>
        <w:rPr>
          <w:rFonts w:hint="eastAsia" w:eastAsia="仿宋_GB2312"/>
          <w:lang w:val="en-US" w:eastAsia="zh-CN"/>
        </w:rPr>
      </w:pPr>
    </w:p>
    <w:p w14:paraId="0161750C">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（八）决算数据其他需要说明的情况</w:t>
      </w:r>
    </w:p>
    <w:p w14:paraId="67DAD5B7">
      <w:pPr>
        <w:numPr>
          <w:ilvl w:val="0"/>
          <w:numId w:val="6"/>
        </w:numPr>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bCs/>
          <w:color w:val="000000"/>
          <w:sz w:val="32"/>
          <w:szCs w:val="32"/>
        </w:rPr>
        <w:t>本单位“项目支出决算明细表”中列支“工资福利支出”和“对个人和家庭的补助”情况</w:t>
      </w:r>
      <w:r>
        <w:rPr>
          <w:rFonts w:hint="eastAsia" w:ascii="仿宋_GB2312" w:hAnsi="仿宋" w:eastAsia="仿宋_GB2312" w:cs="仿宋"/>
          <w:b/>
          <w:bCs/>
          <w:color w:val="000000"/>
          <w:sz w:val="32"/>
          <w:szCs w:val="32"/>
          <w:lang w:val="en-US" w:eastAsia="zh-CN"/>
        </w:rPr>
        <w:t>:</w:t>
      </w:r>
      <w:r>
        <w:rPr>
          <w:rFonts w:hint="eastAsia" w:ascii="仿宋_GB2312" w:hAnsi="仿宋" w:eastAsia="仿宋_GB2312" w:cs="仿宋"/>
          <w:b w:val="0"/>
          <w:bCs w:val="0"/>
          <w:color w:val="000000"/>
          <w:sz w:val="32"/>
          <w:szCs w:val="32"/>
        </w:rPr>
        <w:t>项目支出列医疗</w:t>
      </w:r>
      <w:r>
        <w:rPr>
          <w:rFonts w:hint="eastAsia" w:ascii="仿宋_GB2312" w:hAnsi="仿宋" w:eastAsia="仿宋_GB2312" w:cs="仿宋"/>
          <w:color w:val="000000"/>
          <w:sz w:val="32"/>
          <w:szCs w:val="32"/>
        </w:rPr>
        <w:t>费</w:t>
      </w:r>
      <w:r>
        <w:rPr>
          <w:rFonts w:hint="eastAsia" w:ascii="仿宋_GB2312" w:hAnsi="仿宋" w:eastAsia="仿宋_GB2312" w:cs="仿宋"/>
          <w:color w:val="000000"/>
          <w:sz w:val="32"/>
          <w:szCs w:val="32"/>
          <w:lang w:eastAsia="zh-CN"/>
        </w:rPr>
        <w:t>、其他工资福利支出</w:t>
      </w:r>
      <w:r>
        <w:rPr>
          <w:rFonts w:hint="eastAsia" w:ascii="仿宋_GB2312" w:hAnsi="仿宋" w:eastAsia="仿宋_GB2312" w:cs="仿宋"/>
          <w:color w:val="000000"/>
          <w:sz w:val="32"/>
          <w:szCs w:val="32"/>
        </w:rPr>
        <w:t>为自治区转移支付体检费</w:t>
      </w:r>
      <w:r>
        <w:rPr>
          <w:rFonts w:hint="eastAsia" w:ascii="仿宋_GB2312" w:hAnsi="仿宋" w:eastAsia="仿宋_GB2312" w:cs="仿宋"/>
          <w:color w:val="000000"/>
          <w:sz w:val="32"/>
          <w:szCs w:val="32"/>
          <w:lang w:eastAsia="zh-CN"/>
        </w:rPr>
        <w:t>和柔性援藏人员探亲费；</w:t>
      </w:r>
      <w:r>
        <w:rPr>
          <w:rFonts w:hint="eastAsia" w:ascii="仿宋_GB2312" w:hAnsi="仿宋" w:eastAsia="仿宋_GB2312" w:cs="仿宋"/>
          <w:color w:val="000000"/>
          <w:sz w:val="32"/>
          <w:szCs w:val="32"/>
        </w:rPr>
        <w:t>项目支出列对个人和家庭的补助为三支一扶工资</w:t>
      </w:r>
      <w:r>
        <w:rPr>
          <w:rFonts w:hint="eastAsia" w:ascii="仿宋_GB2312" w:hAnsi="仿宋" w:eastAsia="仿宋_GB2312" w:cs="仿宋"/>
          <w:color w:val="000000"/>
          <w:sz w:val="32"/>
          <w:szCs w:val="32"/>
          <w:lang w:eastAsia="zh-CN"/>
        </w:rPr>
        <w:t>、“双百计划”人才引进人员的生活补助，三大节日慰问金、干部职工未休假补贴</w:t>
      </w:r>
      <w:r>
        <w:rPr>
          <w:rFonts w:hint="eastAsia" w:ascii="仿宋_GB2312" w:hAnsi="仿宋" w:eastAsia="仿宋_GB2312" w:cs="仿宋"/>
          <w:color w:val="000000"/>
          <w:sz w:val="32"/>
          <w:szCs w:val="32"/>
        </w:rPr>
        <w:t>等</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以上资金均为项目经费，但为保障会计账务核算准确性，只能列支工资福利支出和对个人和家庭的补助支出。</w:t>
      </w:r>
    </w:p>
    <w:p w14:paraId="1A802547">
      <w:pPr>
        <w:numPr>
          <w:ilvl w:val="0"/>
          <w:numId w:val="6"/>
        </w:numPr>
        <w:ind w:firstLine="643" w:firstLineChars="200"/>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扶贫资金管理使用情况及绩效目标情况说明</w:t>
      </w:r>
    </w:p>
    <w:p w14:paraId="7F5781C3">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2024年度没有扶贫资金管理使用安排的支出。</w:t>
      </w:r>
    </w:p>
    <w:p w14:paraId="36C2F344">
      <w:pPr>
        <w:numPr>
          <w:ilvl w:val="0"/>
          <w:numId w:val="6"/>
        </w:numPr>
        <w:ind w:firstLine="643" w:firstLineChars="200"/>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政府债务情况</w:t>
      </w:r>
    </w:p>
    <w:p w14:paraId="218225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林芝市卫生健康委员会截止2023年12月31日无</w:t>
      </w:r>
      <w:r>
        <w:rPr>
          <w:rFonts w:hint="eastAsia" w:ascii="仿宋_GB2312" w:hAnsi="宋体" w:eastAsia="仿宋_GB2312" w:cs="Times New Roman"/>
          <w:sz w:val="32"/>
          <w:szCs w:val="32"/>
        </w:rPr>
        <w:t>待偿还的债务、待回购的股权投资和应付工程物资款等</w:t>
      </w:r>
      <w:r>
        <w:rPr>
          <w:rFonts w:hint="eastAsia" w:ascii="仿宋_GB2312" w:hAnsi="宋体" w:eastAsia="仿宋_GB2312" w:cs="Times New Roman"/>
          <w:sz w:val="32"/>
          <w:szCs w:val="32"/>
          <w:lang w:eastAsia="zh-CN"/>
        </w:rPr>
        <w:t>。</w:t>
      </w:r>
    </w:p>
    <w:p w14:paraId="7874E2BD">
      <w:pPr>
        <w:pStyle w:val="4"/>
        <w:rPr>
          <w:rFonts w:hint="eastAsia"/>
        </w:rPr>
      </w:pPr>
    </w:p>
    <w:p w14:paraId="3F42D5E9">
      <w:pPr>
        <w:numPr>
          <w:ilvl w:val="0"/>
          <w:numId w:val="6"/>
        </w:numPr>
        <w:ind w:firstLine="643" w:firstLineChars="200"/>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lang w:val="en-US" w:eastAsia="zh-CN"/>
        </w:rPr>
        <w:t>政府采购情况</w:t>
      </w:r>
    </w:p>
    <w:p w14:paraId="2B6A0B48">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2023年我委政府采购事项共有以下六项，资金合计8856.05万元，具体如下：</w:t>
      </w:r>
    </w:p>
    <w:p w14:paraId="6FA6D6D7">
      <w:pPr>
        <w:numPr>
          <w:ilvl w:val="0"/>
          <w:numId w:val="7"/>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林芝市公共卫生临床中心中心（传染病医院）医疗设备采购6000万元；</w:t>
      </w:r>
    </w:p>
    <w:p w14:paraId="58D68DED">
      <w:pPr>
        <w:numPr>
          <w:ilvl w:val="0"/>
          <w:numId w:val="7"/>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林芝市公共卫生临床中心中心（传染病医院）办公设备采购171.5万元；</w:t>
      </w:r>
    </w:p>
    <w:p w14:paraId="264FCA28">
      <w:pPr>
        <w:numPr>
          <w:ilvl w:val="0"/>
          <w:numId w:val="7"/>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林芝市应急体系专用装备采购729.25万元；</w:t>
      </w:r>
    </w:p>
    <w:p w14:paraId="1B386CB1">
      <w:pPr>
        <w:numPr>
          <w:ilvl w:val="0"/>
          <w:numId w:val="7"/>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林芝市公共卫生临床中心中心（传染病医院）信息化系统1100万元；</w:t>
      </w:r>
    </w:p>
    <w:p w14:paraId="255633AA">
      <w:pPr>
        <w:numPr>
          <w:ilvl w:val="0"/>
          <w:numId w:val="7"/>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林芝市疾控中心信息化系统279.7万元；</w:t>
      </w:r>
    </w:p>
    <w:p w14:paraId="314D94B1">
      <w:pPr>
        <w:numPr>
          <w:ilvl w:val="0"/>
          <w:numId w:val="7"/>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六、林芝市应急体系信息化系统575.6万元。</w:t>
      </w:r>
    </w:p>
    <w:p w14:paraId="730326A3">
      <w:pPr>
        <w:numPr>
          <w:ilvl w:val="0"/>
          <w:numId w:val="6"/>
        </w:numPr>
        <w:ind w:firstLine="643" w:firstLineChars="200"/>
        <w:rPr>
          <w:rFonts w:hint="eastAsia" w:ascii="仿宋_GB2312" w:hAnsi="仿宋" w:eastAsia="仿宋_GB2312" w:cs="仿宋"/>
          <w:b/>
          <w:bCs/>
          <w:color w:val="000000"/>
          <w:sz w:val="32"/>
          <w:szCs w:val="32"/>
          <w:lang w:val="en-US" w:eastAsia="zh-CN"/>
        </w:rPr>
      </w:pPr>
      <w:r>
        <w:rPr>
          <w:rFonts w:hint="eastAsia" w:ascii="仿宋_GB2312" w:hAnsi="仿宋" w:eastAsia="仿宋_GB2312" w:cs="仿宋"/>
          <w:b/>
          <w:bCs/>
          <w:color w:val="000000"/>
          <w:sz w:val="32"/>
          <w:szCs w:val="32"/>
          <w:lang w:val="en-US" w:eastAsia="zh-CN"/>
        </w:rPr>
        <w:t>国有资产占有使用情况说明</w:t>
      </w:r>
    </w:p>
    <w:p w14:paraId="3CDE4D0A">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年12月31日</w:t>
      </w:r>
      <w:r>
        <w:rPr>
          <w:rFonts w:hint="eastAsia" w:ascii="仿宋_GB2312" w:hAnsi="宋体" w:eastAsia="仿宋_GB2312"/>
          <w:sz w:val="32"/>
          <w:szCs w:val="32"/>
          <w:lang w:val="en-US" w:eastAsia="zh-CN"/>
        </w:rPr>
        <w:t>林芝市卫生健康委员会</w:t>
      </w:r>
      <w:r>
        <w:rPr>
          <w:rFonts w:hint="eastAsia" w:ascii="仿宋_GB2312" w:hAnsi="宋体" w:eastAsia="仿宋_GB2312"/>
          <w:sz w:val="32"/>
          <w:szCs w:val="32"/>
        </w:rPr>
        <w:t>固定资产</w:t>
      </w:r>
      <w:r>
        <w:rPr>
          <w:rFonts w:hint="eastAsia" w:ascii="仿宋_GB2312" w:hAnsi="宋体" w:eastAsia="仿宋_GB2312"/>
          <w:sz w:val="32"/>
          <w:szCs w:val="32"/>
          <w:lang w:eastAsia="zh-CN"/>
        </w:rPr>
        <w:t>原值</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2725.79万元。</w:t>
      </w:r>
      <w:r>
        <w:rPr>
          <w:rFonts w:hint="eastAsia" w:ascii="仿宋_GB2312" w:hAnsi="宋体" w:eastAsia="仿宋_GB2312"/>
          <w:sz w:val="32"/>
          <w:szCs w:val="32"/>
        </w:rPr>
        <w:t xml:space="preserve">其中房屋价值  </w:t>
      </w:r>
      <w:r>
        <w:rPr>
          <w:rFonts w:hint="eastAsia" w:ascii="仿宋_GB2312" w:hAnsi="宋体" w:eastAsia="仿宋_GB2312"/>
          <w:sz w:val="32"/>
          <w:szCs w:val="32"/>
          <w:lang w:val="en-US" w:eastAsia="zh-CN"/>
        </w:rPr>
        <w:t>1056.89</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万</w:t>
      </w:r>
      <w:r>
        <w:rPr>
          <w:rFonts w:hint="eastAsia" w:ascii="仿宋_GB2312" w:hAnsi="宋体" w:eastAsia="仿宋_GB2312"/>
          <w:sz w:val="32"/>
          <w:szCs w:val="32"/>
        </w:rPr>
        <w:t>元</w:t>
      </w:r>
      <w:r>
        <w:rPr>
          <w:rFonts w:hint="eastAsia" w:ascii="仿宋_GB2312" w:hAnsi="宋体" w:eastAsia="仿宋_GB2312"/>
          <w:sz w:val="32"/>
          <w:szCs w:val="32"/>
          <w:lang w:eastAsia="zh-CN"/>
        </w:rPr>
        <w:t>、占总资产</w:t>
      </w:r>
      <w:r>
        <w:rPr>
          <w:rFonts w:hint="eastAsia" w:ascii="仿宋_GB2312" w:hAnsi="宋体" w:eastAsia="仿宋_GB2312"/>
          <w:sz w:val="32"/>
          <w:szCs w:val="32"/>
          <w:lang w:val="en-US" w:eastAsia="zh-CN"/>
        </w:rPr>
        <w:t>38.77%，</w:t>
      </w:r>
      <w:r>
        <w:rPr>
          <w:rFonts w:hint="eastAsia" w:ascii="仿宋_GB2312" w:hAnsi="宋体" w:eastAsia="仿宋_GB2312"/>
          <w:sz w:val="32"/>
          <w:szCs w:val="32"/>
        </w:rPr>
        <w:t>车辆</w:t>
      </w:r>
      <w:r>
        <w:rPr>
          <w:rFonts w:hint="eastAsia" w:ascii="仿宋_GB2312" w:hAnsi="宋体" w:eastAsia="仿宋_GB2312"/>
          <w:sz w:val="32"/>
          <w:szCs w:val="32"/>
          <w:lang w:val="en-US" w:eastAsia="zh-CN"/>
        </w:rPr>
        <w:t>7</w:t>
      </w:r>
      <w:r>
        <w:rPr>
          <w:rFonts w:hint="eastAsia" w:ascii="仿宋_GB2312" w:hAnsi="宋体" w:eastAsia="仿宋_GB2312"/>
          <w:sz w:val="32"/>
          <w:szCs w:val="32"/>
        </w:rPr>
        <w:t xml:space="preserve">辆，价值 </w:t>
      </w:r>
      <w:r>
        <w:rPr>
          <w:rFonts w:hint="eastAsia" w:ascii="仿宋_GB2312" w:hAnsi="宋体" w:eastAsia="仿宋_GB2312"/>
          <w:sz w:val="32"/>
          <w:szCs w:val="32"/>
          <w:lang w:val="en-US" w:eastAsia="zh-CN"/>
        </w:rPr>
        <w:t>298.38万</w:t>
      </w:r>
      <w:r>
        <w:rPr>
          <w:rFonts w:hint="eastAsia" w:ascii="仿宋_GB2312" w:hAnsi="宋体" w:eastAsia="仿宋_GB2312"/>
          <w:sz w:val="32"/>
          <w:szCs w:val="32"/>
        </w:rPr>
        <w:t>元</w:t>
      </w:r>
      <w:r>
        <w:rPr>
          <w:rFonts w:hint="eastAsia" w:ascii="仿宋_GB2312" w:hAnsi="宋体" w:eastAsia="仿宋_GB2312"/>
          <w:sz w:val="32"/>
          <w:szCs w:val="32"/>
          <w:lang w:eastAsia="zh-CN"/>
        </w:rPr>
        <w:t>、占总资产</w:t>
      </w:r>
      <w:r>
        <w:rPr>
          <w:rFonts w:hint="eastAsia" w:ascii="仿宋_GB2312" w:hAnsi="宋体" w:eastAsia="仿宋_GB2312"/>
          <w:sz w:val="32"/>
          <w:szCs w:val="32"/>
          <w:lang w:val="en-US" w:eastAsia="zh-CN"/>
        </w:rPr>
        <w:t>10.95%，</w:t>
      </w:r>
      <w:r>
        <w:rPr>
          <w:rFonts w:hint="eastAsia" w:ascii="仿宋_GB2312" w:hAnsi="宋体" w:eastAsia="仿宋_GB2312"/>
          <w:sz w:val="32"/>
          <w:szCs w:val="32"/>
          <w:lang w:eastAsia="zh-CN"/>
        </w:rPr>
        <w:t>其他资产</w:t>
      </w:r>
      <w:r>
        <w:rPr>
          <w:rFonts w:hint="eastAsia" w:ascii="仿宋_GB2312" w:hAnsi="宋体" w:eastAsia="仿宋_GB2312"/>
          <w:sz w:val="32"/>
          <w:szCs w:val="32"/>
          <w:lang w:val="en-US" w:eastAsia="zh-CN"/>
        </w:rPr>
        <w:t>1370.52万万元，</w:t>
      </w:r>
      <w:r>
        <w:rPr>
          <w:rFonts w:hint="eastAsia" w:ascii="仿宋_GB2312" w:hAnsi="宋体" w:eastAsia="仿宋_GB2312"/>
          <w:sz w:val="32"/>
          <w:szCs w:val="32"/>
          <w:lang w:eastAsia="zh-CN"/>
        </w:rPr>
        <w:t>占总资产</w:t>
      </w:r>
      <w:r>
        <w:rPr>
          <w:rFonts w:hint="eastAsia" w:ascii="仿宋_GB2312" w:hAnsi="宋体" w:eastAsia="仿宋_GB2312"/>
          <w:sz w:val="32"/>
          <w:szCs w:val="32"/>
          <w:lang w:val="en-US" w:eastAsia="zh-CN"/>
        </w:rPr>
        <w:t>50.28%，</w:t>
      </w:r>
    </w:p>
    <w:p w14:paraId="24260B6A">
      <w:pPr>
        <w:pStyle w:val="4"/>
        <w:rPr>
          <w:rFonts w:hint="eastAsia"/>
        </w:rPr>
      </w:pPr>
    </w:p>
    <w:p w14:paraId="69AEF020">
      <w:pPr>
        <w:snapToGrid w:val="0"/>
        <w:spacing w:line="52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三、本年度部门决算等财务工作开展情况</w:t>
      </w:r>
    </w:p>
    <w:p w14:paraId="76BB1F54">
      <w:pPr>
        <w:snapToGrid w:val="0"/>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（一）财务管理、绩效管理、决算组织、编报审核情况</w:t>
      </w:r>
    </w:p>
    <w:p w14:paraId="7BD5F8C9">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在2023年财务工作中严格按照相关要求，依据《会计法》等法规建立健全财务制度及各项工作要求，年初合理编制了单位预算，在财务支出方面严格按照预算编制情况进行收支，按时出具财务报表，真实反映单位财务情况和预算执行进度。严格按照《中华人民共和国预算法》《中华人民共和国会计法》等法律规章，设置会计账簿和进行日常账务处置，不存在账外现金或者私设小金库现象。按照相关要求设置了零余额账户和基本账户，便于预算执行。充分认识决算工作是我单位一项重要基础工作，政策性强、涉及面广、技术和业务要求高，为做好2023年决算工作，积极组织相关人员参加培训、业务学习等，较好的完成了本年度决算编报、审核等工作。</w:t>
      </w:r>
    </w:p>
    <w:p w14:paraId="7BABC04E">
      <w:pPr>
        <w:numPr>
          <w:ilvl w:val="0"/>
          <w:numId w:val="8"/>
        </w:numPr>
        <w:snapToGrid w:val="0"/>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本单位决算及绩效信息公开工作开展情况。</w:t>
      </w:r>
    </w:p>
    <w:p w14:paraId="5573D008">
      <w:pPr>
        <w:keepNext w:val="0"/>
        <w:keepLines w:val="0"/>
        <w:pageBreakBefore w:val="0"/>
        <w:shd w:val="clear" w:color="auto" w:fill="FFFFFF"/>
        <w:kinsoku/>
        <w:wordWrap/>
        <w:overflowPunct/>
        <w:topLinePunct w:val="0"/>
        <w:autoSpaceDN/>
        <w:bidi w:val="0"/>
        <w:spacing w:line="500" w:lineRule="exact"/>
        <w:ind w:firstLine="600" w:firstLineChars="200"/>
        <w:textAlignment w:val="center"/>
        <w:rPr>
          <w:rFonts w:hint="eastAsia"/>
        </w:rPr>
      </w:pPr>
      <w:r>
        <w:rPr>
          <w:rFonts w:hint="eastAsia" w:ascii="仿宋_GB2312" w:hAnsi="仿宋_GB2312" w:eastAsia="仿宋_GB2312" w:cs="仿宋_GB2312"/>
          <w:color w:val="auto"/>
          <w:sz w:val="30"/>
          <w:szCs w:val="30"/>
        </w:rPr>
        <w:t>为规范单位财务会计核算，根据《中华人民共和国预算法》等要求，我单位认真执行预、决算公开工作。并按要求在“西藏林芝市</w:t>
      </w:r>
      <w:r>
        <w:rPr>
          <w:rFonts w:hint="eastAsia" w:ascii="仿宋_GB2312" w:hAnsi="仿宋_GB2312" w:eastAsia="仿宋_GB2312" w:cs="仿宋_GB2312"/>
          <w:color w:val="auto"/>
          <w:sz w:val="30"/>
          <w:szCs w:val="30"/>
          <w:lang w:val="en-US" w:eastAsia="zh-CN"/>
        </w:rPr>
        <w:t>人民</w:t>
      </w:r>
      <w:r>
        <w:rPr>
          <w:rFonts w:hint="eastAsia" w:ascii="仿宋_GB2312" w:hAnsi="仿宋_GB2312" w:eastAsia="仿宋_GB2312" w:cs="仿宋_GB2312"/>
          <w:color w:val="auto"/>
          <w:sz w:val="30"/>
          <w:szCs w:val="30"/>
        </w:rPr>
        <w:t>政府网”</w:t>
      </w:r>
      <w:r>
        <w:rPr>
          <w:rFonts w:hint="eastAsia" w:ascii="仿宋_GB2312" w:hAnsi="仿宋_GB2312" w:eastAsia="仿宋_GB2312" w:cs="仿宋_GB2312"/>
          <w:color w:val="auto"/>
          <w:sz w:val="30"/>
          <w:szCs w:val="30"/>
          <w:lang w:eastAsia="zh-CN"/>
        </w:rPr>
        <w:t>“林芝市卫生健康委员会网站”</w:t>
      </w:r>
      <w:r>
        <w:rPr>
          <w:rFonts w:hint="eastAsia" w:ascii="仿宋_GB2312" w:hAnsi="仿宋_GB2312" w:eastAsia="仿宋_GB2312" w:cs="仿宋_GB2312"/>
          <w:color w:val="auto"/>
          <w:sz w:val="30"/>
          <w:szCs w:val="30"/>
          <w:lang w:val="en-US" w:eastAsia="zh-CN"/>
        </w:rPr>
        <w:t>分别于2023年1月18日</w:t>
      </w:r>
      <w:r>
        <w:rPr>
          <w:rFonts w:hint="eastAsia" w:ascii="仿宋_GB2312" w:hAnsi="仿宋_GB2312" w:eastAsia="仿宋_GB2312" w:cs="仿宋_GB2312"/>
          <w:color w:val="auto"/>
          <w:sz w:val="30"/>
          <w:szCs w:val="30"/>
        </w:rPr>
        <w:t>公开了</w:t>
      </w:r>
      <w:r>
        <w:rPr>
          <w:rFonts w:hint="eastAsia" w:ascii="仿宋_GB2312" w:hAnsi="仿宋_GB2312" w:eastAsia="仿宋_GB2312" w:cs="仿宋_GB2312"/>
          <w:color w:val="auto"/>
          <w:kern w:val="0"/>
          <w:sz w:val="30"/>
          <w:szCs w:val="30"/>
          <w:lang w:val="en"/>
        </w:rPr>
        <w:t>20</w:t>
      </w:r>
      <w:r>
        <w:rPr>
          <w:rFonts w:hint="eastAsia" w:ascii="仿宋_GB2312" w:hAnsi="仿宋_GB2312" w:eastAsia="仿宋_GB2312" w:cs="仿宋_GB2312"/>
          <w:color w:val="auto"/>
          <w:kern w:val="0"/>
          <w:sz w:val="30"/>
          <w:szCs w:val="30"/>
        </w:rPr>
        <w:t>2</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lang w:val="en"/>
        </w:rPr>
        <w:t>年</w:t>
      </w:r>
      <w:r>
        <w:rPr>
          <w:rFonts w:hint="eastAsia" w:ascii="仿宋_GB2312" w:hAnsi="仿宋_GB2312" w:eastAsia="仿宋_GB2312" w:cs="仿宋_GB2312"/>
          <w:color w:val="auto"/>
          <w:sz w:val="30"/>
          <w:szCs w:val="30"/>
        </w:rPr>
        <w:t>度</w:t>
      </w:r>
      <w:r>
        <w:rPr>
          <w:rFonts w:hint="eastAsia" w:ascii="仿宋_GB2312" w:hAnsi="仿宋_GB2312" w:eastAsia="仿宋_GB2312" w:cs="仿宋_GB2312"/>
          <w:color w:val="auto"/>
          <w:kern w:val="0"/>
          <w:sz w:val="30"/>
          <w:szCs w:val="30"/>
          <w:lang w:val="en-US" w:eastAsia="zh-CN"/>
        </w:rPr>
        <w:t>预算</w:t>
      </w:r>
      <w:r>
        <w:rPr>
          <w:rFonts w:hint="eastAsia" w:ascii="仿宋_GB2312" w:hAnsi="仿宋_GB2312" w:eastAsia="仿宋_GB2312" w:cs="仿宋_GB2312"/>
          <w:color w:val="auto"/>
          <w:kern w:val="0"/>
          <w:sz w:val="30"/>
          <w:szCs w:val="30"/>
          <w:lang w:val="en"/>
        </w:rPr>
        <w:t>信息</w:t>
      </w:r>
      <w:r>
        <w:rPr>
          <w:rFonts w:hint="eastAsia" w:ascii="仿宋_GB2312" w:hAnsi="仿宋_GB2312" w:eastAsia="仿宋_GB2312" w:cs="仿宋_GB2312"/>
          <w:color w:val="auto"/>
          <w:kern w:val="0"/>
          <w:sz w:val="30"/>
          <w:szCs w:val="30"/>
          <w:lang w:val="en-US" w:eastAsia="zh-CN"/>
        </w:rPr>
        <w:t>、2023年9月19日</w:t>
      </w:r>
      <w:r>
        <w:rPr>
          <w:rFonts w:hint="eastAsia" w:ascii="仿宋_GB2312" w:hAnsi="仿宋_GB2312" w:eastAsia="仿宋_GB2312" w:cs="仿宋_GB2312"/>
          <w:color w:val="auto"/>
          <w:sz w:val="30"/>
          <w:szCs w:val="30"/>
        </w:rPr>
        <w:t>公开了</w:t>
      </w:r>
      <w:r>
        <w:rPr>
          <w:rFonts w:hint="eastAsia" w:ascii="仿宋_GB2312" w:hAnsi="仿宋_GB2312" w:eastAsia="仿宋_GB2312" w:cs="仿宋_GB2312"/>
          <w:color w:val="auto"/>
          <w:kern w:val="0"/>
          <w:sz w:val="30"/>
          <w:szCs w:val="30"/>
          <w:lang w:val="en"/>
        </w:rPr>
        <w:t>20</w:t>
      </w:r>
      <w:r>
        <w:rPr>
          <w:rFonts w:hint="eastAsia" w:ascii="仿宋_GB2312" w:hAnsi="仿宋_GB2312" w:eastAsia="仿宋_GB2312" w:cs="仿宋_GB2312"/>
          <w:color w:val="auto"/>
          <w:kern w:val="0"/>
          <w:sz w:val="30"/>
          <w:szCs w:val="30"/>
        </w:rPr>
        <w:t>2</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lang w:val="en"/>
        </w:rPr>
        <w:t>年</w:t>
      </w:r>
      <w:r>
        <w:rPr>
          <w:rFonts w:hint="eastAsia" w:ascii="仿宋_GB2312" w:hAnsi="仿宋_GB2312" w:eastAsia="仿宋_GB2312" w:cs="仿宋_GB2312"/>
          <w:color w:val="auto"/>
          <w:sz w:val="30"/>
          <w:szCs w:val="30"/>
        </w:rPr>
        <w:t>度</w:t>
      </w:r>
      <w:r>
        <w:rPr>
          <w:rFonts w:hint="eastAsia" w:ascii="仿宋_GB2312" w:hAnsi="仿宋_GB2312" w:eastAsia="仿宋_GB2312" w:cs="仿宋_GB2312"/>
          <w:color w:val="auto"/>
          <w:kern w:val="0"/>
          <w:sz w:val="30"/>
          <w:szCs w:val="30"/>
          <w:lang w:val="en-US" w:eastAsia="zh-CN"/>
        </w:rPr>
        <w:t>决算</w:t>
      </w:r>
      <w:r>
        <w:rPr>
          <w:rFonts w:hint="eastAsia" w:ascii="仿宋_GB2312" w:hAnsi="仿宋_GB2312" w:eastAsia="仿宋_GB2312" w:cs="仿宋_GB2312"/>
          <w:color w:val="auto"/>
          <w:kern w:val="0"/>
          <w:sz w:val="30"/>
          <w:szCs w:val="30"/>
          <w:lang w:val="en"/>
        </w:rPr>
        <w:t>信息。</w:t>
      </w:r>
    </w:p>
    <w:p w14:paraId="5CEBA22B">
      <w:pPr>
        <w:numPr>
          <w:ilvl w:val="0"/>
          <w:numId w:val="8"/>
        </w:numPr>
        <w:snapToGrid w:val="0"/>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对部门决算管理工作的意见和建议。</w:t>
      </w:r>
    </w:p>
    <w:p w14:paraId="20E2F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建议加强对预算单位的决算培训力度，尤其是实际操作能力，不断提高财务人员的业务水平。同时建议完善预算一体化系统部门决算模块的功能，完善相关公式及逻辑关系。提升决算工作效率。</w:t>
      </w:r>
    </w:p>
    <w:p w14:paraId="03D37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45AE42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第四部分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名词解释</w:t>
      </w:r>
    </w:p>
    <w:p w14:paraId="495AA723">
      <w:pPr>
        <w:keepNext w:val="0"/>
        <w:keepLines w:val="0"/>
        <w:pageBreakBefore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sz w:val="44"/>
          <w:szCs w:val="44"/>
        </w:rPr>
      </w:pPr>
    </w:p>
    <w:p w14:paraId="7F02C5F8">
      <w:pPr>
        <w:spacing w:line="572" w:lineRule="exact"/>
        <w:ind w:firstLine="480" w:firstLineChars="150"/>
        <w:jc w:val="left"/>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val="en-US" w:eastAsia="zh-CN" w:bidi="bo-CN"/>
        </w:rPr>
        <w:t>1.卫</w:t>
      </w:r>
      <w:r>
        <w:rPr>
          <w:rFonts w:hint="eastAsia" w:ascii="仿宋_GB2312" w:hAnsi="仿宋_GB2312" w:eastAsia="仿宋_GB2312" w:cs="仿宋_GB2312"/>
          <w:sz w:val="32"/>
          <w:szCs w:val="32"/>
          <w:lang w:bidi="bo-CN"/>
        </w:rPr>
        <w:t>生健康支出：反映卫生健康部门</w:t>
      </w:r>
      <w:r>
        <w:rPr>
          <w:rFonts w:hint="eastAsia" w:ascii="仿宋_GB2312" w:hAnsi="仿宋_GB2312" w:eastAsia="仿宋_GB2312" w:cs="仿宋_GB2312"/>
          <w:sz w:val="32"/>
          <w:szCs w:val="32"/>
          <w:lang w:eastAsia="zh-CN" w:bidi="bo-CN"/>
        </w:rPr>
        <w:t>行政管理部门及</w:t>
      </w:r>
      <w:r>
        <w:rPr>
          <w:rFonts w:hint="eastAsia" w:ascii="仿宋_GB2312" w:hAnsi="仿宋_GB2312" w:eastAsia="仿宋_GB2312" w:cs="仿宋_GB2312"/>
          <w:sz w:val="32"/>
          <w:szCs w:val="32"/>
          <w:lang w:bidi="bo-CN"/>
        </w:rPr>
        <w:t>所属</w:t>
      </w:r>
      <w:r>
        <w:rPr>
          <w:rFonts w:hint="eastAsia" w:ascii="仿宋_GB2312" w:hAnsi="仿宋_GB2312" w:eastAsia="仿宋_GB2312" w:cs="仿宋_GB2312"/>
          <w:sz w:val="32"/>
          <w:szCs w:val="32"/>
          <w:lang w:eastAsia="zh-CN" w:bidi="bo-CN"/>
        </w:rPr>
        <w:t>医疗卫生</w:t>
      </w:r>
      <w:r>
        <w:rPr>
          <w:rFonts w:hint="eastAsia" w:ascii="仿宋_GB2312" w:hAnsi="仿宋_GB2312" w:eastAsia="仿宋_GB2312" w:cs="仿宋_GB2312"/>
          <w:sz w:val="32"/>
          <w:szCs w:val="32"/>
          <w:lang w:bidi="bo-CN"/>
        </w:rPr>
        <w:t>机构的支出。</w:t>
      </w:r>
    </w:p>
    <w:p w14:paraId="40D9C8CB">
      <w:pPr>
        <w:spacing w:line="572" w:lineRule="exact"/>
        <w:ind w:firstLine="480" w:firstLineChars="150"/>
        <w:jc w:val="left"/>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val="en-US" w:eastAsia="zh-CN" w:bidi="bo-CN"/>
        </w:rPr>
        <w:t>2.</w:t>
      </w:r>
      <w:r>
        <w:rPr>
          <w:rFonts w:hint="eastAsia" w:ascii="仿宋_GB2312" w:hAnsi="仿宋_GB2312" w:eastAsia="仿宋_GB2312" w:cs="仿宋_GB2312"/>
          <w:sz w:val="32"/>
          <w:szCs w:val="32"/>
          <w:lang w:bidi="bo-CN"/>
        </w:rPr>
        <w:t>社会保障就业支出：反映政府在社会保障与就业方面的支出。</w:t>
      </w:r>
    </w:p>
    <w:p w14:paraId="30FB1B2A">
      <w:pPr>
        <w:spacing w:line="572" w:lineRule="exact"/>
        <w:ind w:firstLine="480" w:firstLineChars="150"/>
        <w:jc w:val="left"/>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val="en-US" w:eastAsia="zh-CN" w:bidi="bo-CN"/>
        </w:rPr>
        <w:t>3.</w:t>
      </w:r>
      <w:r>
        <w:rPr>
          <w:rFonts w:hint="eastAsia" w:ascii="仿宋_GB2312" w:hAnsi="仿宋_GB2312" w:eastAsia="仿宋_GB2312" w:cs="仿宋_GB2312"/>
          <w:sz w:val="32"/>
          <w:szCs w:val="32"/>
          <w:lang w:bidi="bo-CN"/>
        </w:rPr>
        <w:t>购房补贴：反映按房改政策规定，行政事业单位向符条件的职工（含离退休人员）、军队（含武警）向转业复员离退休人员发放的用于购买住房的补贴。</w:t>
      </w:r>
    </w:p>
    <w:p w14:paraId="43BFEB07">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4.</w:t>
      </w:r>
      <w:r>
        <w:rPr>
          <w:rFonts w:hint="eastAsia" w:ascii="仿宋_GB2312" w:hAnsi="仿宋_GB2312" w:eastAsia="仿宋_GB2312" w:cs="仿宋_GB2312"/>
          <w:sz w:val="32"/>
          <w:szCs w:val="32"/>
          <w:lang w:bidi="bo-CN"/>
        </w:rPr>
        <w:t>重大公共卫生服务：反映重大疾病、重大传染病预防控制等重大公共卫生服务项目支出。</w:t>
      </w:r>
    </w:p>
    <w:p w14:paraId="0B147F23">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5.其他行政事业单位医疗支出：反映除上述项目以外的其他用于行政事业单位医疗方面的支出。</w:t>
      </w:r>
    </w:p>
    <w:p w14:paraId="448E623C">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6.财政拨款收入：指本年度从本级财政部门取得的财政拨款，包括一般公共预算财政拨款和政府性基金预算财政拨款。</w:t>
      </w:r>
    </w:p>
    <w:p w14:paraId="31DCC926">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7.事业收入：指事业单位开展专业业务活动及其辅助活动取得的收入；事业单位收到的财政专户实际核拨的教育收费等资金。</w:t>
      </w:r>
    </w:p>
    <w:p w14:paraId="4F8CBE7B">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8.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14:paraId="058AF703">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9.使用非财政拨款结余：指事业单位在当年的“财政拨款收入”、“财政拨款结转和结余资金”、“事业收入”、“事业单位经营收入”、“其他收入”不足以安排当年支出的情况下，使用以前年度累积的事业基金（当年收支相抵后按国家规定提取、用于弥补以后年度收支差额的基金）弥补本年收支缺口的资金。</w:t>
      </w:r>
    </w:p>
    <w:p w14:paraId="4B2CBD17">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10.年初结转和结余：指以前年度支出预算因客观条件变化未执行完毕、结转到本年度按有关规定继续使用的资金。</w:t>
      </w:r>
    </w:p>
    <w:p w14:paraId="25FAF5BB">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11、结余分配：指事业单位按照会计制度规定缴纳的所得税以及从非财政拨款结余中提取的职工福利基金、事业基金等。</w:t>
      </w:r>
    </w:p>
    <w:p w14:paraId="6066EF98">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12.年末结转和结余：指单位本年度或以前年度预算安排、因客观条件发生变化未全部执行或未执行，结转到以后年度继续使用的资金，或项目已完成等产生的结余资金。</w:t>
      </w:r>
    </w:p>
    <w:p w14:paraId="7771F68F">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13.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7518B6">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14项目支出：指在基本支出之外为完成特定任务和事业发展目标所发生的支出。</w:t>
      </w:r>
    </w:p>
    <w:p w14:paraId="419C52CC">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15.经营支出：指事业单位在专业业务活动及其辅助活动之外开展非独立核算经营活动发生的支出。</w:t>
      </w:r>
    </w:p>
    <w:p w14:paraId="69AD548E">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16.“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BB7A4C">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17.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18271644">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18.工资福利支出（支出经济分类科目类级）：反映单位开支的在职职工和编制外长期聘用人员的各类劳动报酬，以及为上述人员缴纳的各项社会保险费等。</w:t>
      </w:r>
    </w:p>
    <w:p w14:paraId="3515E0AA">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19.商品和服务支出（支出经济分类科目类级）：反映单位购买商品和服务的支出（不包括用于购置固定资产的支出、战略性和应急储备支出）。</w:t>
      </w:r>
    </w:p>
    <w:p w14:paraId="0D736D63">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20.对个人和家庭的补助（支出经济分类科目类级）：反映用于对个人和家庭的补助支出。</w:t>
      </w:r>
    </w:p>
    <w:p w14:paraId="7F0412C4">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21.资本性支出（支出经济分类科目类级）：反映非各级发展与改革部门集中安排的用于购置固定资产、战略性和应急性储备、土地和无形资产，以及构建基础设施、大型修缮和财政支持企业更新改造所发生的支出。</w:t>
      </w:r>
    </w:p>
    <w:p w14:paraId="7F77E608">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22.医疗卫生与计划生育支出（中医（民族）医）：反映卫生健康部门所属中医（民族）医支出。</w:t>
      </w:r>
    </w:p>
    <w:p w14:paraId="6A128A80">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23.社会保障就业支出：反映单位在社会保障与就业方面的支出。</w:t>
      </w:r>
    </w:p>
    <w:p w14:paraId="5426BE1A">
      <w:pPr>
        <w:spacing w:line="572" w:lineRule="exact"/>
        <w:ind w:firstLine="480" w:firstLineChars="150"/>
        <w:jc w:val="left"/>
        <w:rPr>
          <w:rFonts w:hint="eastAsia" w:ascii="仿宋_GB2312" w:hAnsi="仿宋_GB2312" w:eastAsia="仿宋_GB2312" w:cs="仿宋_GB2312"/>
          <w:sz w:val="32"/>
          <w:szCs w:val="32"/>
          <w:lang w:bidi="bo-CN"/>
        </w:rPr>
      </w:pPr>
    </w:p>
    <w:p w14:paraId="237F9CB7">
      <w:pPr>
        <w:pStyle w:val="4"/>
        <w:rPr>
          <w:rFonts w:hint="eastAsia" w:ascii="仿宋_GB2312" w:eastAsia="仿宋_GB2312"/>
          <w:sz w:val="32"/>
          <w:szCs w:val="32"/>
        </w:rPr>
      </w:pPr>
    </w:p>
    <w:p w14:paraId="1CCD769E">
      <w:pPr>
        <w:rPr>
          <w:rFonts w:hint="eastAsia"/>
        </w:rPr>
      </w:pPr>
    </w:p>
    <w:p w14:paraId="21D41CE8">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林芝市人民医院</w:t>
      </w:r>
    </w:p>
    <w:p w14:paraId="6CE0F997">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28514DF3">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  录</w:t>
      </w:r>
    </w:p>
    <w:p w14:paraId="7CECB3C5">
      <w:pPr>
        <w:pStyle w:val="4"/>
        <w:rPr>
          <w:rFonts w:hint="eastAsia"/>
          <w:lang w:val="en-US" w:eastAsia="zh-CN"/>
        </w:rPr>
      </w:pPr>
    </w:p>
    <w:p w14:paraId="37F3F006">
      <w:pPr>
        <w:rPr>
          <w:rFonts w:hint="eastAsia"/>
          <w:lang w:val="en-US" w:eastAsia="zh-CN"/>
        </w:rPr>
      </w:pPr>
    </w:p>
    <w:p w14:paraId="5ED132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第一部分  林芝市人民医院概况</w:t>
      </w:r>
    </w:p>
    <w:p w14:paraId="0929A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一、主要职能</w:t>
      </w:r>
    </w:p>
    <w:p w14:paraId="5FFB9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二、部门单位构成</w:t>
      </w:r>
    </w:p>
    <w:p w14:paraId="228888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第二部分  林芝市人民医院2023年度部门决算明细表</w:t>
      </w:r>
    </w:p>
    <w:p w14:paraId="66A5B4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一、收入支出决算总表</w:t>
      </w:r>
    </w:p>
    <w:p w14:paraId="71F61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二、财政拨款收入支出决算总表</w:t>
      </w:r>
    </w:p>
    <w:p w14:paraId="7FBE8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三、收入支出决算表</w:t>
      </w:r>
    </w:p>
    <w:p w14:paraId="7127EA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四、收入决算表</w:t>
      </w:r>
    </w:p>
    <w:p w14:paraId="16F33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五、支出决算表</w:t>
      </w:r>
    </w:p>
    <w:p w14:paraId="716501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六、支出决算明细表</w:t>
      </w:r>
    </w:p>
    <w:p w14:paraId="4F277B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七、基本支出决算明细表</w:t>
      </w:r>
    </w:p>
    <w:p w14:paraId="5E1B9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八、项目支出决算明细表</w:t>
      </w:r>
    </w:p>
    <w:p w14:paraId="02F561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九、经营支出决算明细表</w:t>
      </w:r>
    </w:p>
    <w:p w14:paraId="7BF0BE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十、项目支出分项目收入支出决算表</w:t>
      </w:r>
    </w:p>
    <w:p w14:paraId="32047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十一、一般公共预算财政拨款收入支出决算表</w:t>
      </w:r>
    </w:p>
    <w:p w14:paraId="73D000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十二、一般公共预算财政拨款支出决算明细表</w:t>
      </w:r>
    </w:p>
    <w:p w14:paraId="720B7A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十三、一般公共预算财政拨款基本支出决算明细表</w:t>
      </w:r>
    </w:p>
    <w:p w14:paraId="50A8E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十四、一般公共预算财政拨款项目支出决算明细表</w:t>
      </w:r>
    </w:p>
    <w:p w14:paraId="6762C0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十五、政府性基金预算财政拨款收入支出决算表</w:t>
      </w:r>
    </w:p>
    <w:p w14:paraId="2E2073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十六、政府性基金预算财政拨款支出决算明细表</w:t>
      </w:r>
    </w:p>
    <w:p w14:paraId="69CCAB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十七、政府性基金预算财政拨款基本支出决算明细表</w:t>
      </w:r>
    </w:p>
    <w:p w14:paraId="1A0434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十八、政府性基金预算财政拨款项目支出决算明细表</w:t>
      </w:r>
    </w:p>
    <w:p w14:paraId="776C2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十九、国有资本经营预算财政拨款收入支出决算表</w:t>
      </w:r>
    </w:p>
    <w:p w14:paraId="38C48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二十、国有资本经营预算财政拨款支出决算明细表</w:t>
      </w:r>
    </w:p>
    <w:p w14:paraId="63975F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二十一、预算支出相关信息表</w:t>
      </w:r>
    </w:p>
    <w:p w14:paraId="515EA8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二十二、基本数字表</w:t>
      </w:r>
    </w:p>
    <w:p w14:paraId="204DB9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二十三、机构运行信息表</w:t>
      </w:r>
    </w:p>
    <w:p w14:paraId="08E7BA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二十四、非税收入征缴情况表</w:t>
      </w:r>
    </w:p>
    <w:p w14:paraId="618100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二十五、基本支出分项目收入支出情况表</w:t>
      </w:r>
    </w:p>
    <w:p w14:paraId="152619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第三部分  林芝市人民医院2023年度部门决算情况说明</w:t>
      </w:r>
    </w:p>
    <w:p w14:paraId="4EB4A8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14:paraId="3CD95C9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727B7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6" w:firstLineChars="500"/>
        <w:jc w:val="both"/>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第一部分</w:t>
      </w:r>
      <w:r>
        <w:rPr>
          <w:rFonts w:hint="eastAsia" w:ascii="方正小标宋简体" w:hAnsi="方正小标宋简体" w:eastAsia="方正小标宋简体" w:cs="方正小标宋简体"/>
          <w:b/>
          <w:bCs/>
          <w:color w:val="000000"/>
          <w:sz w:val="32"/>
          <w:szCs w:val="32"/>
          <w:lang w:val="en-US" w:eastAsia="zh-CN"/>
        </w:rPr>
        <w:t xml:space="preserve">  </w:t>
      </w:r>
      <w:r>
        <w:rPr>
          <w:rFonts w:hint="eastAsia" w:ascii="方正小标宋简体" w:hAnsi="方正小标宋简体" w:eastAsia="方正小标宋简体" w:cs="方正小标宋简体"/>
          <w:b/>
          <w:bCs/>
          <w:color w:val="000000"/>
          <w:sz w:val="32"/>
          <w:szCs w:val="32"/>
        </w:rPr>
        <w:t>林芝市人民医院概况</w:t>
      </w:r>
    </w:p>
    <w:p w14:paraId="1FEEBED4">
      <w:pPr>
        <w:snapToGrid w:val="0"/>
        <w:spacing w:line="520" w:lineRule="exact"/>
        <w:rPr>
          <w:rFonts w:hint="eastAsia" w:ascii="黑体" w:hAnsi="黑体" w:eastAsia="黑体" w:cs="黑体"/>
          <w:sz w:val="32"/>
          <w:szCs w:val="32"/>
        </w:rPr>
      </w:pPr>
      <w:r>
        <w:rPr>
          <w:rFonts w:hint="eastAsia" w:ascii="黑体" w:hAnsi="黑体" w:eastAsia="黑体" w:cs="黑体"/>
          <w:sz w:val="32"/>
          <w:szCs w:val="32"/>
        </w:rPr>
        <w:t>一、单位情况</w:t>
      </w:r>
    </w:p>
    <w:p w14:paraId="0B45D73F">
      <w:pPr>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（一）基本情况。</w:t>
      </w:r>
    </w:p>
    <w:p w14:paraId="64A30F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人民医院始建于1966年6月，在“八一”门诊部的基础上，发展为八一人民医院，1986年更名为“林芝地区人民医院”，2015年6月随着林芝撤地设市，更名为“林芝市人民医院”，2015年12月通过国家三级乙等医院评审，2017年11月通过国家三级甲等综合医院评审，2018年1月被西藏自治区卫生计生委确定为“三级甲等”综合医院。</w:t>
      </w:r>
    </w:p>
    <w:p w14:paraId="3DC790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医院系藏东南1所集医疗、预防、保健、康复、急救、科研、教学为一体的综合性医院。医院现占地面积70783.7平方米，医疗用房36529平方米。编制床位350张，实际开放床位300张。干部职工568人（在编人员293人），其中临床医护人员443人，高级职称 51人，中级职称 78人。近三年来，医院门诊、住院、手术人次逐年攀升，平均住院日逐年下降，床位周转率不断提高。医院满意度持续保持在90%以上。</w:t>
      </w:r>
    </w:p>
    <w:p w14:paraId="3E18B3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我院设有52个科室，主要临床科室31个，医技科室5个，门急诊系统2个。医院基础建设和配套设施完善，医院现拥有西门子数字减影血管造影设备（DSA）、GE 3.0T和1.5T磁共振、128层螺旋CT、超声胃镜、全自动生化分析仪、ECMO等大型医疗设备以及重症抢救、生命支持的现代化医疗设备。</w:t>
      </w:r>
    </w:p>
    <w:p w14:paraId="687C6A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把“院有特色、科有特点、人有专长”作为医疗建设的指导思想，始终秉承“真诚、博爱、敬业、奉献”的价值追求理念，坚持“依法治院、科技兴院、人才强院、质量立院”的发展思路，努力打造区域医疗中心，树立人文服务品牌，建森林花园式医院，创国家三级综合医院。</w:t>
      </w:r>
    </w:p>
    <w:p w14:paraId="2261A654">
      <w:pPr>
        <w:snapToGrid w:val="0"/>
        <w:spacing w:line="520" w:lineRule="exact"/>
        <w:rPr>
          <w:rFonts w:hint="eastAsia" w:ascii="黑体" w:hAnsi="黑体" w:eastAsia="黑体" w:cs="黑体"/>
          <w:sz w:val="32"/>
          <w:szCs w:val="32"/>
        </w:rPr>
      </w:pPr>
      <w:r>
        <w:rPr>
          <w:rFonts w:hint="eastAsia" w:ascii="黑体" w:hAnsi="黑体" w:eastAsia="黑体" w:cs="黑体"/>
          <w:sz w:val="32"/>
          <w:szCs w:val="32"/>
          <w:lang w:val="en-US" w:eastAsia="zh-CN"/>
        </w:rPr>
        <w:t>1.</w:t>
      </w:r>
      <w:r>
        <w:rPr>
          <w:rFonts w:hint="eastAsia" w:ascii="黑体" w:hAnsi="黑体" w:eastAsia="黑体" w:cs="黑体"/>
          <w:sz w:val="32"/>
          <w:szCs w:val="32"/>
        </w:rPr>
        <w:t>主要职能</w:t>
      </w:r>
    </w:p>
    <w:p w14:paraId="7D7A90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人民医院是藏东南最大的一所集医疗、预防、保健、科研、教学为一体的综合性三级甲等医院，占地面积70783.7平方米，隶属于市政府差额拨款事业单位，是林芝市的中心医院，医疗服务覆盖整个地区，肩负着全地区23.89万人口的卫生保健工作。是卫生部国际紧急救援中心网络医院，西藏大学医学院教学基地，西藏民族大学附属林芝医院。</w:t>
      </w:r>
    </w:p>
    <w:p w14:paraId="3660AF0E">
      <w:pPr>
        <w:snapToGrid w:val="0"/>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2.林芝市人民医院预算单位构成</w:t>
      </w:r>
    </w:p>
    <w:p w14:paraId="698C88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林芝市人民医院是差额事业单位，执行政府会计制度，单位按照预算按级次划为地市级预算单位。财务实行独立核算。</w:t>
      </w:r>
    </w:p>
    <w:p w14:paraId="56E3E5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2023年度预算公开包括以下单位数据：</w:t>
      </w:r>
    </w:p>
    <w:p w14:paraId="1E4FDB61">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w:t>
      </w:r>
    </w:p>
    <w:p w14:paraId="09488BFD">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w:t>
      </w:r>
    </w:p>
    <w:p w14:paraId="769EB8C5">
      <w:pPr>
        <w:ind w:firstLine="964" w:firstLineChars="300"/>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color w:val="000000"/>
          <w:sz w:val="32"/>
          <w:szCs w:val="32"/>
          <w:lang w:eastAsia="zh-CN"/>
        </w:rPr>
        <w:t>第二部分</w:t>
      </w:r>
      <w:r>
        <w:rPr>
          <w:rFonts w:hint="eastAsia" w:ascii="方正小标宋简体" w:hAnsi="方正小标宋简体" w:eastAsia="方正小标宋简体" w:cs="方正小标宋简体"/>
          <w:b/>
          <w:bCs/>
          <w:color w:val="000000"/>
          <w:sz w:val="32"/>
          <w:szCs w:val="32"/>
          <w:lang w:val="en-US" w:eastAsia="zh-CN"/>
        </w:rPr>
        <w:t xml:space="preserve">  </w:t>
      </w:r>
      <w:r>
        <w:rPr>
          <w:rFonts w:hint="eastAsia" w:ascii="方正小标宋简体" w:hAnsi="方正小标宋简体" w:eastAsia="方正小标宋简体" w:cs="方正小标宋简体"/>
          <w:b/>
          <w:bCs/>
          <w:color w:val="000000"/>
          <w:sz w:val="32"/>
          <w:szCs w:val="32"/>
          <w:lang w:eastAsia="zh-CN"/>
        </w:rPr>
        <w:t>林芝市人民医院2023年度决算明细表</w:t>
      </w:r>
    </w:p>
    <w:p w14:paraId="5DF28FA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（表格见附件）</w:t>
      </w:r>
    </w:p>
    <w:p w14:paraId="04773A02">
      <w:pPr>
        <w:pStyle w:val="4"/>
        <w:rPr>
          <w:rFonts w:hint="eastAsia"/>
        </w:rPr>
      </w:pPr>
    </w:p>
    <w:p w14:paraId="528C239D">
      <w:pPr>
        <w:ind w:firstLine="964" w:firstLineChars="300"/>
        <w:rPr>
          <w:rFonts w:hint="eastAsia" w:ascii="方正小标宋简体" w:hAnsi="方正小标宋简体" w:eastAsia="方正小标宋简体" w:cs="方正小标宋简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eastAsia="zh-CN"/>
        </w:rPr>
        <w:t>第三部分</w:t>
      </w:r>
      <w:r>
        <w:rPr>
          <w:rFonts w:hint="eastAsia" w:ascii="方正小标宋简体" w:hAnsi="方正小标宋简体" w:eastAsia="方正小标宋简体" w:cs="方正小标宋简体"/>
          <w:b/>
          <w:bCs/>
          <w:color w:val="000000"/>
          <w:sz w:val="32"/>
          <w:szCs w:val="32"/>
          <w:lang w:val="en-US" w:eastAsia="zh-CN"/>
        </w:rPr>
        <w:t xml:space="preserve">  </w:t>
      </w:r>
      <w:r>
        <w:rPr>
          <w:rFonts w:hint="eastAsia" w:ascii="方正小标宋简体" w:hAnsi="方正小标宋简体" w:eastAsia="方正小标宋简体" w:cs="方正小标宋简体"/>
          <w:b/>
          <w:bCs/>
          <w:color w:val="000000"/>
          <w:sz w:val="32"/>
          <w:szCs w:val="32"/>
          <w:lang w:eastAsia="zh-CN"/>
        </w:rPr>
        <w:t>林芝市人民医院2023年度决算情况说明</w:t>
      </w:r>
    </w:p>
    <w:p w14:paraId="0C4A5E2E">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一、2023年度财政拨款收支预算情况总体说明</w:t>
      </w:r>
    </w:p>
    <w:p w14:paraId="2367B75B">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1、预算总收入12819.28万元。</w:t>
      </w:r>
    </w:p>
    <w:p w14:paraId="53ADA349">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2、预算总支出13186.46万元。</w:t>
      </w:r>
    </w:p>
    <w:p w14:paraId="766FF717">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3、财政拨款年初结转和结余367.18万元,其中年初项目结转367.18万元。其中:基本收入6591.11万元，基本支出6591.11万元；项目收入6228.17万元，项目支出6595.35万元，年末结转。</w:t>
      </w:r>
    </w:p>
    <w:p w14:paraId="000A4A48">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二、2023年度一般公共预算当年财政拨款情况说明</w:t>
      </w:r>
    </w:p>
    <w:p w14:paraId="1031AAB5">
      <w:pPr>
        <w:keepNext w:val="0"/>
        <w:keepLines w:val="0"/>
        <w:pageBreakBefore w:val="0"/>
        <w:kinsoku/>
        <w:wordWrap/>
        <w:topLinePunct w:val="0"/>
        <w:autoSpaceDE/>
        <w:autoSpaceDN/>
        <w:bidi w:val="0"/>
        <w:snapToGrid w:val="0"/>
        <w:spacing w:line="560" w:lineRule="exac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（一）一般公共预算当年财政拨款规模变化情况</w:t>
      </w:r>
    </w:p>
    <w:p w14:paraId="13331B2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2023年预算收入12819.28万元，比2022年部门预算10958.27万元增加了1861.01万元,同比增长16.98%。主要是2023年项目年度收入为6228.17万元，较2022年项目收入4247.79万元，增幅大，资金使用进度加快。</w:t>
      </w:r>
    </w:p>
    <w:p w14:paraId="44E0BDB4">
      <w:pPr>
        <w:keepNext w:val="0"/>
        <w:keepLines w:val="0"/>
        <w:pageBreakBefore w:val="0"/>
        <w:kinsoku/>
        <w:wordWrap/>
        <w:topLinePunct w:val="0"/>
        <w:autoSpaceDE/>
        <w:autoSpaceDN/>
        <w:bidi w:val="0"/>
        <w:snapToGrid w:val="0"/>
        <w:spacing w:line="560" w:lineRule="exac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（二）一般公共预算当年财政拨款结构情况</w:t>
      </w:r>
    </w:p>
    <w:p w14:paraId="179783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2023年预算收入12819.28万元，其中基本支出收入6591.11万元占预算收入的51.42%；项目支出收入6228.17万元占预算收入的48.58%。</w:t>
      </w:r>
    </w:p>
    <w:p w14:paraId="633F0536">
      <w:pPr>
        <w:keepNext w:val="0"/>
        <w:keepLines w:val="0"/>
        <w:pageBreakBefore w:val="0"/>
        <w:kinsoku/>
        <w:wordWrap/>
        <w:topLinePunct w:val="0"/>
        <w:autoSpaceDE/>
        <w:autoSpaceDN/>
        <w:bidi w:val="0"/>
        <w:snapToGrid w:val="0"/>
        <w:spacing w:line="560" w:lineRule="exac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（三）一般公共预算当年财政拨款具体使用情况</w:t>
      </w:r>
    </w:p>
    <w:p w14:paraId="509BC3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社会保障就业支出1045.06万元；医疗与卫生健康支出11755.38万元；住房保障支出383.07万元。</w:t>
      </w:r>
    </w:p>
    <w:p w14:paraId="01EB2B60">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三、2023年度一般公共预算基本支出情况说明</w:t>
      </w:r>
    </w:p>
    <w:p w14:paraId="0F2443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一般公共预算基本支出19801.84万元。其中：工资福利支出13968.50万元。主要包括基本工资、津贴补贴、年终一次性奖金、其他工资福利支出；商品和服务支出5464.99万元。主要包括办公费、水费、电费、邮电费、取暖费、差旅费、维修（护）费、培训费、公务接待费、工会经费、福利费、公务用车运行维护费、其他商品和服务支出；其他对个人和家庭的补助26.77万元，包括退休干部护理津贴，我院退休职工内地治疗交通费、我院干部职工子女进藏交通费、去世职工抚恤金。</w:t>
      </w:r>
    </w:p>
    <w:p w14:paraId="7E2D756B">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四、2023年“三公”经费预算情况说明</w:t>
      </w:r>
    </w:p>
    <w:p w14:paraId="516A7A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林芝市人民医院为财政补助差额单位，无“三公”经费财政预算，所有“三公”经费使用均为我院自行承担。</w:t>
      </w:r>
    </w:p>
    <w:p w14:paraId="453E3DCA">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五、2023年度收支预算情况总体说明</w:t>
      </w:r>
    </w:p>
    <w:p w14:paraId="543916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2023年度部门财政预算收入12819.28万元。年初财政拨款结转和结余367.18万元。2023年度总收入为28892.49万元，总支出为26397.2万元。</w:t>
      </w:r>
    </w:p>
    <w:p w14:paraId="3A4A4457">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六、2023年度收入预算情况说明</w:t>
      </w:r>
    </w:p>
    <w:p w14:paraId="1A17D1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2023年度部门预算总收入28892.49万元。年初财政拨款结转和结余367.18万元,财政拨款总收入12819.28万元,医疗收入16065.68万元,其他收入7.53万元. </w:t>
      </w:r>
    </w:p>
    <w:p w14:paraId="0D2CBD4B">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七、2023年度支出预算情况说明</w:t>
      </w:r>
    </w:p>
    <w:p w14:paraId="6C708C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2023年度医院总支出为26397.2万元,部门一般公共预算基本支出19801.84万元,项目支出为6595.35万元.</w:t>
      </w:r>
    </w:p>
    <w:p w14:paraId="117A6DAE">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八、机关运行经费执行情况说明</w:t>
      </w:r>
    </w:p>
    <w:p w14:paraId="1E261D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2023年财政无下拨公用运行经费。</w:t>
      </w:r>
    </w:p>
    <w:p w14:paraId="3013CC66">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九、国有资产占有情况说明</w:t>
      </w:r>
    </w:p>
    <w:p w14:paraId="2B7204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截至2023年12月31日，我院工作用车辆一共15辆，百万元以上设备25台。</w:t>
      </w:r>
    </w:p>
    <w:p w14:paraId="4A689D1D">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十、重点绩效评价结果等预算绩效情况说明</w:t>
      </w:r>
    </w:p>
    <w:p w14:paraId="57C4CB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初步建立预算绩效制度，并在以后的工作中不断改进完善绩效评价，建立健全系统化、科学化、规范化的绩效评价体系。</w:t>
      </w:r>
    </w:p>
    <w:p w14:paraId="3ACE7314">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十一、政府采购支出说明</w:t>
      </w:r>
    </w:p>
    <w:p w14:paraId="44AF7C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本年度无政府采购。</w:t>
      </w:r>
    </w:p>
    <w:p w14:paraId="68260421">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十二、其他重要事项的情况说明</w:t>
      </w:r>
    </w:p>
    <w:p w14:paraId="6B7DB7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无。</w:t>
      </w:r>
    </w:p>
    <w:p w14:paraId="7E86FEBC">
      <w:pPr>
        <w:rPr>
          <w:rFonts w:hint="eastAsia" w:ascii="仿宋_GB2312" w:hAnsi="仿宋_GB2312" w:eastAsia="仿宋_GB2312" w:cs="仿宋_GB2312"/>
          <w:sz w:val="32"/>
          <w:szCs w:val="32"/>
        </w:rPr>
      </w:pPr>
    </w:p>
    <w:p w14:paraId="4C392B8E">
      <w:pPr>
        <w:ind w:firstLine="964" w:firstLineChars="300"/>
        <w:jc w:val="center"/>
        <w:rPr>
          <w:rFonts w:hint="eastAsia" w:ascii="方正小标宋简体" w:hAnsi="方正小标宋简体" w:eastAsia="方正小标宋简体" w:cs="方正小标宋简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eastAsia="zh-CN"/>
        </w:rPr>
        <w:t>第四部分</w:t>
      </w:r>
      <w:r>
        <w:rPr>
          <w:rFonts w:hint="eastAsia" w:ascii="方正小标宋简体" w:hAnsi="方正小标宋简体" w:eastAsia="方正小标宋简体" w:cs="方正小标宋简体"/>
          <w:b/>
          <w:bCs/>
          <w:color w:val="000000"/>
          <w:sz w:val="32"/>
          <w:szCs w:val="32"/>
          <w:lang w:val="en-US" w:eastAsia="zh-CN"/>
        </w:rPr>
        <w:t xml:space="preserve"> </w:t>
      </w:r>
      <w:r>
        <w:rPr>
          <w:rFonts w:hint="eastAsia" w:ascii="方正小标宋简体" w:hAnsi="方正小标宋简体" w:eastAsia="方正小标宋简体" w:cs="方正小标宋简体"/>
          <w:b/>
          <w:bCs/>
          <w:color w:val="000000"/>
          <w:sz w:val="32"/>
          <w:szCs w:val="32"/>
          <w:lang w:eastAsia="zh-CN"/>
        </w:rPr>
        <w:t>名词解释</w:t>
      </w:r>
    </w:p>
    <w:p w14:paraId="5A40B3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1、 医疗卫生与计划生育支出：反映卫生和计划生育部门支出。</w:t>
      </w:r>
    </w:p>
    <w:p w14:paraId="25912D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2、 社会保障就业支出：反映政府在社会保障与就业方面的支出。</w:t>
      </w:r>
    </w:p>
    <w:p w14:paraId="5CA442D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3、 购房补贴：反映按房改政策规定，行政事业单位向符合条件的职工（含离退休人员）、军队（含武警）向转业复员离退休人员发放的用于购买住房的补贴。</w:t>
      </w:r>
    </w:p>
    <w:p w14:paraId="67EAE325">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4261EB72">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4F7A6B1D">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443EE437">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4193EB8A">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0DF912AC">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07329F7E">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0DD7C973">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59AB4EE0">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1C7AC578">
      <w:pPr>
        <w:pStyle w:val="4"/>
        <w:rPr>
          <w:rFonts w:hint="eastAsia" w:ascii="方正小标宋简体" w:hAnsi="方正小标宋简体" w:eastAsia="方正小标宋简体" w:cs="方正小标宋简体"/>
          <w:b/>
          <w:bCs/>
          <w:color w:val="000000"/>
          <w:sz w:val="44"/>
          <w:szCs w:val="44"/>
          <w:lang w:val="en-US" w:eastAsia="zh-CN"/>
        </w:rPr>
      </w:pPr>
    </w:p>
    <w:p w14:paraId="6AE351D1">
      <w:pPr>
        <w:rPr>
          <w:rFonts w:hint="eastAsia" w:ascii="方正小标宋简体" w:hAnsi="方正小标宋简体" w:eastAsia="方正小标宋简体" w:cs="方正小标宋简体"/>
          <w:b/>
          <w:bCs/>
          <w:color w:val="000000"/>
          <w:sz w:val="44"/>
          <w:szCs w:val="44"/>
          <w:lang w:val="en-US" w:eastAsia="zh-CN"/>
        </w:rPr>
      </w:pPr>
    </w:p>
    <w:p w14:paraId="36103FE3">
      <w:pPr>
        <w:pStyle w:val="4"/>
        <w:rPr>
          <w:rFonts w:hint="eastAsia" w:ascii="方正小标宋简体" w:hAnsi="方正小标宋简体" w:eastAsia="方正小标宋简体" w:cs="方正小标宋简体"/>
          <w:b/>
          <w:bCs/>
          <w:color w:val="000000"/>
          <w:sz w:val="44"/>
          <w:szCs w:val="44"/>
          <w:lang w:val="en-US" w:eastAsia="zh-CN"/>
        </w:rPr>
      </w:pPr>
    </w:p>
    <w:p w14:paraId="16517877">
      <w:pPr>
        <w:rPr>
          <w:rFonts w:hint="eastAsia" w:ascii="方正小标宋简体" w:hAnsi="方正小标宋简体" w:eastAsia="方正小标宋简体" w:cs="方正小标宋简体"/>
          <w:b/>
          <w:bCs/>
          <w:color w:val="000000"/>
          <w:sz w:val="44"/>
          <w:szCs w:val="44"/>
          <w:lang w:val="en-US" w:eastAsia="zh-CN"/>
        </w:rPr>
      </w:pPr>
    </w:p>
    <w:p w14:paraId="7438E42E">
      <w:pPr>
        <w:pStyle w:val="4"/>
        <w:rPr>
          <w:rFonts w:hint="eastAsia" w:ascii="方正小标宋简体" w:hAnsi="方正小标宋简体" w:eastAsia="方正小标宋简体" w:cs="方正小标宋简体"/>
          <w:b/>
          <w:bCs/>
          <w:color w:val="000000"/>
          <w:sz w:val="44"/>
          <w:szCs w:val="44"/>
          <w:lang w:val="en-US" w:eastAsia="zh-CN"/>
        </w:rPr>
      </w:pPr>
    </w:p>
    <w:p w14:paraId="3467E4F9">
      <w:pPr>
        <w:rPr>
          <w:rFonts w:hint="eastAsia"/>
          <w:lang w:val="en-US" w:eastAsia="zh-CN"/>
        </w:rPr>
      </w:pPr>
    </w:p>
    <w:p w14:paraId="2416C43C">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2C8A9014">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21BE29A3">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6CD3764C">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p>
    <w:p w14:paraId="04AD3F81">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林芝市藏医院</w:t>
      </w:r>
    </w:p>
    <w:p w14:paraId="081187A2">
      <w:pPr>
        <w:rPr>
          <w:rFonts w:hint="eastAsia"/>
        </w:rPr>
      </w:pPr>
    </w:p>
    <w:p w14:paraId="08D4BB57">
      <w:pPr>
        <w:pStyle w:val="4"/>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14:paraId="747EB56B">
      <w:pPr>
        <w:rPr>
          <w:rFonts w:hint="eastAsia"/>
        </w:rPr>
      </w:pPr>
    </w:p>
    <w:p w14:paraId="03D306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第一部分  林芝市藏医院概况</w:t>
      </w:r>
    </w:p>
    <w:p w14:paraId="64E44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一、</w:t>
      </w:r>
      <w:r>
        <w:rPr>
          <w:rFonts w:hint="eastAsia" w:ascii="仿宋_GB2312" w:hAnsi="仿宋" w:eastAsia="仿宋_GB2312" w:cs="Times New Roman"/>
          <w:color w:val="000000"/>
          <w:sz w:val="32"/>
          <w:szCs w:val="32"/>
        </w:rPr>
        <w:t>部门决算单位构成</w:t>
      </w:r>
    </w:p>
    <w:p w14:paraId="4290E3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二、</w:t>
      </w:r>
      <w:r>
        <w:rPr>
          <w:rFonts w:hint="eastAsia" w:ascii="仿宋_GB2312" w:hAnsi="仿宋" w:eastAsia="仿宋_GB2312" w:cs="Times New Roman"/>
          <w:color w:val="000000"/>
          <w:sz w:val="32"/>
          <w:szCs w:val="32"/>
        </w:rPr>
        <w:t>部门职责和机构设置</w:t>
      </w:r>
    </w:p>
    <w:p w14:paraId="7B1357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第二部分  林芝市藏医院2023年度部门决算表</w:t>
      </w:r>
    </w:p>
    <w:p w14:paraId="1648FB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一、收入支出决算总表</w:t>
      </w:r>
    </w:p>
    <w:p w14:paraId="5C9AB6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二、收入决算表</w:t>
      </w:r>
    </w:p>
    <w:p w14:paraId="0EC4D2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三、支出决算表</w:t>
      </w:r>
    </w:p>
    <w:p w14:paraId="1E3681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四、财政拨款收入支出决算总表</w:t>
      </w:r>
    </w:p>
    <w:p w14:paraId="4A2A30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五、一般公共预算财政拨款支出决算表</w:t>
      </w:r>
    </w:p>
    <w:p w14:paraId="14C48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六、一般公共预算财政拨款基本支出决算表</w:t>
      </w:r>
    </w:p>
    <w:p w14:paraId="2B6B4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七、一般公共预算财政拨款“三公”经费支出决算表</w:t>
      </w:r>
    </w:p>
    <w:p w14:paraId="7E432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八、 政府性基金预算财政拨款收入支出决算表</w:t>
      </w:r>
    </w:p>
    <w:p w14:paraId="72F35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九、国有资本经营预算财政拨款支出决算表</w:t>
      </w:r>
    </w:p>
    <w:p w14:paraId="38D263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第三部分  林芝市藏医院2023年度部门决算数据说明</w:t>
      </w:r>
    </w:p>
    <w:p w14:paraId="19C3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一、收入支出决算总体情况说明</w:t>
      </w:r>
    </w:p>
    <w:p w14:paraId="26E25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二、收入决算情况说明</w:t>
      </w:r>
    </w:p>
    <w:p w14:paraId="58D90A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三、支出决算情况说明</w:t>
      </w:r>
    </w:p>
    <w:p w14:paraId="36E23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四、财政拨款收入支出决算情况说明</w:t>
      </w:r>
    </w:p>
    <w:p w14:paraId="32B370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五、一般公共预算财政拨款“三公”经费支出决算情况说明</w:t>
      </w:r>
    </w:p>
    <w:p w14:paraId="02235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六、2022年度机关运行情况说明</w:t>
      </w:r>
    </w:p>
    <w:p w14:paraId="6F12F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七、政府采购情况说明</w:t>
      </w:r>
    </w:p>
    <w:p w14:paraId="16F104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八、国有资产占有使用情况</w:t>
      </w:r>
    </w:p>
    <w:p w14:paraId="0AB97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九、预算绩效情况说明</w:t>
      </w:r>
    </w:p>
    <w:p w14:paraId="6B503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十、扶贫资金情况说明</w:t>
      </w:r>
    </w:p>
    <w:p w14:paraId="43B649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十一、债务情况说明</w:t>
      </w:r>
    </w:p>
    <w:p w14:paraId="2740E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十二、重点、重大项目信息</w:t>
      </w:r>
    </w:p>
    <w:p w14:paraId="575E61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bCs/>
          <w:color w:val="000000"/>
          <w:sz w:val="32"/>
          <w:szCs w:val="32"/>
        </w:rPr>
        <w:t>第四部分  名词解释</w:t>
      </w:r>
    </w:p>
    <w:p w14:paraId="7763DFBC">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林芝市藏医院概况</w:t>
      </w:r>
    </w:p>
    <w:p w14:paraId="15FA19A2">
      <w:pPr>
        <w:pStyle w:val="4"/>
        <w:numPr>
          <w:ilvl w:val="0"/>
          <w:numId w:val="0"/>
        </w:numPr>
        <w:rPr>
          <w:rFonts w:hint="eastAsia"/>
        </w:rPr>
      </w:pPr>
    </w:p>
    <w:p w14:paraId="53117433">
      <w:pPr>
        <w:snapToGrid w:val="0"/>
        <w:spacing w:line="520" w:lineRule="exact"/>
        <w:rPr>
          <w:rFonts w:hint="eastAsia" w:ascii="黑体" w:hAnsi="黑体" w:eastAsia="黑体" w:cs="黑体"/>
          <w:sz w:val="32"/>
          <w:szCs w:val="32"/>
        </w:rPr>
      </w:pPr>
      <w:r>
        <w:rPr>
          <w:rFonts w:hint="eastAsia" w:ascii="黑体" w:hAnsi="黑体" w:eastAsia="黑体" w:cs="黑体"/>
          <w:sz w:val="32"/>
          <w:szCs w:val="32"/>
        </w:rPr>
        <w:t>一、部门决算单位构成</w:t>
      </w:r>
    </w:p>
    <w:p w14:paraId="2877EC7E">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藏医院于1993年8月6日挂牌成立，现为副县级单位，隶属于林芝市卫生与计划生育委员会，是属财政全额性拨款事业单位，执行政府会计制度，财务实行独立核算。是一所集医疗、教学、科研、保健、生产、文化为一体的三级乙等藏医医院。是西藏藏医药大学非直属附属医院，西藏自治区藏医院医联体单位,广东省中医院医疗协作单位、广东省第二人民医院技术支持单位、广东省佛山中医院“中医正骨疗法传承培训基地”，西藏自治区人民政府驻成都办事处医院医联体单位。开设了广东省名中医符文彬教授名医工作室、全国名老中医（藏医）朗嘉教授名医工作室、国家非物质文化遗产项目（拉萨北派藏医水银洗炼法和藏药仁青常觉配伍技艺)代表性传承人多吉教授名医工作室，医院作为深圳大学附属华南医院、深圳市重塑未来公益基金会、林芝市残疾人联合会“重塑未来”肢体重建医疗救治公益项目的林芝站点，开设了肢体矫形与功能重建潘奇教授工作室。</w:t>
      </w:r>
    </w:p>
    <w:p w14:paraId="07FBAC30">
      <w:pPr>
        <w:snapToGrid w:val="0"/>
        <w:spacing w:line="520" w:lineRule="exact"/>
        <w:rPr>
          <w:rFonts w:hint="eastAsia" w:ascii="黑体" w:hAnsi="黑体" w:eastAsia="黑体" w:cs="黑体"/>
          <w:sz w:val="32"/>
          <w:szCs w:val="32"/>
        </w:rPr>
      </w:pPr>
      <w:r>
        <w:rPr>
          <w:rFonts w:hint="eastAsia" w:ascii="黑体" w:hAnsi="黑体" w:eastAsia="黑体" w:cs="黑体"/>
          <w:sz w:val="32"/>
          <w:szCs w:val="32"/>
        </w:rPr>
        <w:t>二、部门职责和机构设置</w:t>
      </w:r>
    </w:p>
    <w:p w14:paraId="41575272">
      <w:pPr>
        <w:pStyle w:val="4"/>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（一）部门职责。</w:t>
      </w:r>
    </w:p>
    <w:p w14:paraId="2EDA7704">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林芝市藏医院是一所非盈利性为目的的民族医院，医院以“社会效益第一；患者健康第一；服务质量第一；医院信誉第一”的服务意识，以“仁爱；传承；发扬；创新”为院训，为人民群众提供较高水平的藏医服务；承担保健、预防、康复、教学、科研、生产等藏医事业发展任务，起到区域性藏医指导中心的职能。  </w:t>
      </w:r>
    </w:p>
    <w:p w14:paraId="1E3E4046">
      <w:pPr>
        <w:pStyle w:val="4"/>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（二）部门机构设置。</w:t>
      </w:r>
    </w:p>
    <w:p w14:paraId="0D5AF8DC">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预算单位构成：林芝市藏医院，机构编制床位110张，本院内设机构有10个：办公室（总务科）、财务科、医教科、护理部、门诊部、药械科（药剂设备科）、院感管理科、制剂中心、“治未病”科、藏医药研究室（天文历算研究室）。</w:t>
      </w:r>
    </w:p>
    <w:p w14:paraId="009A5AD1">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院实有人数151人，其中在编正式干部职工61人；公益性及临时工86人；三支一扶3人；志愿者1人。在编正式干部职工中事业管理人员六级1人，事业管理人员七级5人，事业管理人员八级2人，专技人员七级7人，专技人员十级24人，专技人员十二级21人，事业工人五级1人。</w:t>
      </w:r>
    </w:p>
    <w:p w14:paraId="7BA64322">
      <w:pPr>
        <w:pStyle w:val="4"/>
        <w:rPr>
          <w:rFonts w:hint="eastAsia" w:ascii="仿宋_GB2312" w:hAnsi="仿宋_GB2312" w:eastAsia="仿宋_GB2312" w:cs="仿宋_GB2312"/>
          <w:sz w:val="32"/>
          <w:szCs w:val="32"/>
        </w:rPr>
      </w:pPr>
    </w:p>
    <w:p w14:paraId="0843084E">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林芝市藏医院2023年度部门决算表</w:t>
      </w:r>
    </w:p>
    <w:p w14:paraId="3ACB7D78">
      <w:pPr>
        <w:pStyle w:val="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（详见附表1-9）</w:t>
      </w:r>
    </w:p>
    <w:p w14:paraId="75ACC613">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林芝市藏医院2023年度部门决算数据说明</w:t>
      </w:r>
    </w:p>
    <w:p w14:paraId="48A41808">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一、收入支出决算总体情况说明</w:t>
      </w:r>
    </w:p>
    <w:p w14:paraId="7AD7FFB5">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年总收入共计5810.97万元，较上年度减少317.55万元，下幅5.2%。主要原因是财政拨款项目支出较上年度减少。全年总支出共计5852.1万元，较上年度减少398.86万元，下幅6.4%，主要原因是财政拨款项目支出较上年度减少。</w:t>
      </w:r>
    </w:p>
    <w:p w14:paraId="2D24594E">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二、收入决算情况说明</w:t>
      </w:r>
    </w:p>
    <w:p w14:paraId="707E22AF">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院各项收入共计5810.97万元。其中财政拨款收入3445.23万元，占比59%；非财政专项收入72.06万元，占比1%；事业（医疗）收入2293.68万元，占比40%。总收入较上年度降低317.55万元，下幅5.2%，其主要原因为财政拨款收入较上年减少806.33万元（主要减少为特定项目资金），非财政专项资金较上年减少110.77万元（主要为科研经费），医疗收入较上年增加599.55万元，增幅35%，主要原因是随着近几年财政投入项目资金，医疗设备及医院环境改善，医院人才培养等举措，有效推动了医疗服务能力的提升，从而就诊量逐年增加。</w:t>
      </w:r>
    </w:p>
    <w:p w14:paraId="22D3840E">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三、支出决算情况说明</w:t>
      </w:r>
    </w:p>
    <w:p w14:paraId="17AF096A">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支出共计5852.1万元，比上年同期下幅6%。其中财政拨款支出3445.23万元，占比59%。较上年减少856.36万元，主要原因是财政拨款项目支出较上年度减少；非财政专项资金支出99.43万元，占比1.7%。较上年增加76.72万元，主要是科研项目支出增加；医疗支出2307.44万元，占比39.3%，较上年增加377.99万元，主要原因一是经医院党委会研究通过，自2023年1月起本院编制外人员单位社保缴费从“三险”调整为“五险”（养老、失业、工伤、医疗、生育）。二是因实际工作需要，2023年医院制剂中心维修改造原因，制剂中心无法满足临床用药（藏药）需求，因此采购藏药支出较上年增加。</w:t>
      </w:r>
    </w:p>
    <w:p w14:paraId="7E47CCCC">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四、财政拨款收入支出决算情况说明</w:t>
      </w:r>
    </w:p>
    <w:p w14:paraId="22C2506D">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（一）财政拨款收入支出决算总体情况说明</w:t>
      </w:r>
    </w:p>
    <w:p w14:paraId="0ABAA4D4">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2023年财政拨款收入3445.23万元。其中基本支出1817.82万元，项目支出1627.4万元。</w:t>
      </w:r>
    </w:p>
    <w:p w14:paraId="2E559E79">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（二）财政拨款支出决算总体情况</w:t>
      </w:r>
    </w:p>
    <w:p w14:paraId="5E3F2986">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2023年财政拨款支出总数3445.22万元。其中基本支出1817.82万元，项目支出1627.4万元。</w:t>
      </w:r>
    </w:p>
    <w:p w14:paraId="003709FB">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（三）财政拨款支出决算结构情况</w:t>
      </w:r>
    </w:p>
    <w:p w14:paraId="4C37D3C6">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3445.22万元。主要用于以下方面（经济分类科目）：工资福利支出1837.15万元，占比53.33%；商品和服务支出385.38万元，占比11.19%；对个人和家庭补助支出12.11万元，占比0.36%。资本性支出1210.58万元，占比35.12%。</w:t>
      </w:r>
    </w:p>
    <w:p w14:paraId="20652A47">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（四）财政拨款支出决算具体情况</w:t>
      </w:r>
    </w:p>
    <w:p w14:paraId="4242AE7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2023年度一般公共预算财政拨款支出总数为3445.22万元。具体情况如下：</w:t>
      </w:r>
    </w:p>
    <w:p w14:paraId="6836C3AB">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1、卫生健康支出（类）公立医院（款）中医（民族）医院（项）支出决算数为财政拨款支出数2273.55万元；</w:t>
      </w:r>
    </w:p>
    <w:p w14:paraId="5D0E7B1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2、社会保障和就业支出（类）行政事业单位养老支出（款）机关事业单位基本养老保险缴费支出（项）支出决算为165.54万元；</w:t>
      </w:r>
    </w:p>
    <w:p w14:paraId="6F561E19">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3、社会保障和就业支出（类）财政对其他社会保险基金的补助（款）财政对失业保险基金的补助（项）支出决算为5.17万元；</w:t>
      </w:r>
    </w:p>
    <w:p w14:paraId="5A695A98">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4、社会保障和就业支出（类）财政对其他社会保险基金的补助（款）财政对工伤保险基金的补助（项）支出决算为1.03万元；</w:t>
      </w:r>
    </w:p>
    <w:p w14:paraId="59C74ED3">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5、卫生健康支出（类）行政事业单位医疗（款）事业单位医疗支出决算为79.71万元；</w:t>
      </w:r>
    </w:p>
    <w:p w14:paraId="58D94267">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6.社会保障和就业支出（类）就业补助（款）其他就业和补助支出（项）决算为21万元；</w:t>
      </w:r>
    </w:p>
    <w:p w14:paraId="4C566DC2">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7、住房保障性支出（类）住房改革支出（款）住房公积金管理（项）支出决算为123.51万元；</w:t>
      </w:r>
    </w:p>
    <w:p w14:paraId="0D7D1D37">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8、科学技术支出（类）其他科学技术支出（款）其他科学技术支出（项）支出决算为6.87万元；</w:t>
      </w:r>
    </w:p>
    <w:p w14:paraId="4436FAB6">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9、卫生健康支出（类）公共卫生（款）基本公共卫生服务支出（项）决算数为8.85万元；</w:t>
      </w:r>
    </w:p>
    <w:p w14:paraId="2A15358C">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10、卫生健康支出（类）公共卫生（款）重大公共卫生服务支出（项）决算数为115.32万元；</w:t>
      </w:r>
    </w:p>
    <w:p w14:paraId="00E90D1A">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11、卫生健康支出（类）中医药（款）中医（民族医）药专项（项）决算数为643.68万元；</w:t>
      </w:r>
    </w:p>
    <w:p w14:paraId="0432BF4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12、卫生健康支出（类）医疗救助（款）其他医疗救助支出（项）决算数0.83万元；</w:t>
      </w:r>
    </w:p>
    <w:p w14:paraId="226D6607">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13、灾害防治及应急管理支出（类）自然灾害防治（款）其他自然灾害防治支出（项）决算数为0.16万元；</w:t>
      </w:r>
    </w:p>
    <w:p w14:paraId="295909B8">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五、一般公共预算财政拨款“三公”经费支出决算情况说明</w:t>
      </w:r>
    </w:p>
    <w:p w14:paraId="1E291D90">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2023年度“三公”经费支出总数为119125.09元，分项支出具体如下：</w:t>
      </w:r>
    </w:p>
    <w:p w14:paraId="3F497768">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公务接待费：今年本院公务接待费支出为23940元，接待组团批次17次，累计接待人数199人，较上年公务接待费支出增加19493元，其主要原是因为根据医联体工作需要，中西医、藏医考察组莅临本院开展工作交流及免费义诊活动较上年增加；</w:t>
      </w:r>
    </w:p>
    <w:p w14:paraId="2F3FAB5D">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二是公务用车运行维护费：2023年公务用车运行维护费支出为95185.09元，较上年支出减少9528.88元；</w:t>
      </w:r>
    </w:p>
    <w:p w14:paraId="3DA6F775">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三是公务用车购置费：2022、2023年均无公务用车购置费支出； </w:t>
      </w:r>
    </w:p>
    <w:p w14:paraId="1C588A9C">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四是因公出国（境）费用：2022、2023年均无因公出国（境）费用支出。</w:t>
      </w:r>
    </w:p>
    <w:p w14:paraId="029D9F97">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六、2023年度事业运行情况说明</w:t>
      </w:r>
    </w:p>
    <w:p w14:paraId="52320BC8">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（一）事业运行总体情况。</w:t>
      </w:r>
    </w:p>
    <w:p w14:paraId="1233E276">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2023年本部门一般公共预算安排的事业经费，合计3445.22万元，与年初预算数相比增加1024.93万元 。其中，基本支出  1817.82万元，一般行政管理项目支出1627.4万元。</w:t>
      </w:r>
    </w:p>
    <w:p w14:paraId="05B178B1">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（二）事业运行经费预算的内容。</w:t>
      </w:r>
    </w:p>
    <w:p w14:paraId="0EBDFB84">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事业经费由基本支出和一般事业支出两部分组成；</w:t>
      </w:r>
    </w:p>
    <w:p w14:paraId="2E565449">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包括两部分；一部分是人员经费，具体包括工资、津贴及奖金、医疗费、住房补贴等；二是公用经费，具体包括办公及印刷费、水电费、邮电费、交通费、差旅费、会议费、福利费、物业管理费、日常维修费、一般购置费等。</w:t>
      </w:r>
    </w:p>
    <w:p w14:paraId="4E24852B">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2.一般事业管理项目支出，包括招待费、会议费、购置费（包括设备、计算机等）、专用材料费、干部培训费、信息网络运行维护费等用于一般事业管理事务方面的项目支出。</w:t>
      </w:r>
    </w:p>
    <w:p w14:paraId="078A864B">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七、政府采购情况说明</w:t>
      </w:r>
    </w:p>
    <w:p w14:paraId="15EC6DD4">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2023年无政府采购情况。</w:t>
      </w:r>
    </w:p>
    <w:p w14:paraId="600E458D">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八、国有资产占有使用情况</w:t>
      </w:r>
    </w:p>
    <w:p w14:paraId="2C92749B">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截至2023年12月31日，资产总计6690.6万元。其中流动资产1396.01万元，占比20.87%；固定资产5294.58万元，占比79.13万元（其中房屋2458.38万元，车辆57.89万元，设备类2778.31万元）；</w:t>
      </w:r>
    </w:p>
    <w:p w14:paraId="2ECE425B">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本院共有车辆5辆，其中，公务用车2辆、特种专用技术用车3辆（救护车）；单位价值50万元（含）以上通用设备0台（套）; 单位价值100万元（含）以上专用设备7台（套）; </w:t>
      </w:r>
    </w:p>
    <w:p w14:paraId="66B06467">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九、预算绩效情况说明</w:t>
      </w:r>
    </w:p>
    <w:p w14:paraId="7F4FBF74">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财政支出预算管理，增强预算执行的科学性、合理性、规范性，及时发现并解决预算支出管理中存在的问题，总结经验，合理配置资源，优化支出结构，规范预算资金分配，提高财政资金的使用效益，以绩效目标为导向，完善预算管理领导小组、优化内控制度，定期对预算执行情况进行分析，定期召开开展预算执行推进会，确保按照预算绩效目标有序完成。根据林芝市财政局聘请第三方对本院2023年部门整体支出绩效评价，评分为74.86分，评价为“中”。</w:t>
      </w:r>
    </w:p>
    <w:p w14:paraId="291D1346">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十、债务情况说明</w:t>
      </w:r>
    </w:p>
    <w:p w14:paraId="192950FF">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林芝市藏医院无政府债券资金。</w:t>
      </w:r>
    </w:p>
    <w:p w14:paraId="46D74076">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十一、重点、重大项目信息</w:t>
      </w:r>
    </w:p>
    <w:p w14:paraId="32684137">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一是投入预算资金254.7万元，建设全院消防喷淋系统、报警系统建设项目。有效确保了本院安全生产持续稳定，保障本院医疗质量和医疗安全。</w:t>
      </w:r>
    </w:p>
    <w:p w14:paraId="70BC019C">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投入预算资金265.46万元，建设制剂中心厂房及办公设备升级改造项目。改善本院制剂中心生产设施设备条件，提高制剂配制能力，优化生产流程、提升制剂质量，切实加强了本院医疗机构制剂的研发、配制水平，制剂推广和应用，在满足本院临床用药需求的同时解决市内县乡藏药制剂品种的实际需求，提供“优质价廉”的藏药制剂品种，更好地为广大人民群众服务。</w:t>
      </w:r>
    </w:p>
    <w:p w14:paraId="026D6674">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十二、扶贫项目资金情况</w:t>
      </w:r>
    </w:p>
    <w:p w14:paraId="018C9448">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2023年林芝市藏医院无扶贫项目资金。</w:t>
      </w:r>
    </w:p>
    <w:p w14:paraId="2FF50F06">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十三、国有资本经营预算财政拨款支出</w:t>
      </w:r>
    </w:p>
    <w:p w14:paraId="529768EF">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2023年林芝市藏医院无国有资本经营预算财政拨款支出</w:t>
      </w:r>
    </w:p>
    <w:p w14:paraId="5E579640">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十四、国有资本经营预算财政拨款收入支出</w:t>
      </w:r>
    </w:p>
    <w:p w14:paraId="27A2CCD4">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2023年林芝市藏医院无国有资本经营预算财政拨款收入支出。</w:t>
      </w:r>
    </w:p>
    <w:p w14:paraId="739B7816">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十五、政府性基金预算财政拨款收入支出</w:t>
      </w:r>
    </w:p>
    <w:p w14:paraId="1EE1A62F">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2023年林芝市藏医院无政府性基金预算财政拨款收入支出。</w:t>
      </w:r>
    </w:p>
    <w:p w14:paraId="2DCD7D33">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第四部分 名词解释</w:t>
      </w:r>
    </w:p>
    <w:p w14:paraId="6CA386D5">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（一）财政拨款收入：指本年度从本级财政部门取得的财政拨款，包括一般公共预算财政拨款和政府性基金预算财政拨款。</w:t>
      </w:r>
    </w:p>
    <w:p w14:paraId="7044F254">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（二）事业收入：指事业单位开展专业业务活动及其辅助活动取得的收入；事业单位收到的财政专户实际核拨的教育收费等资金。</w:t>
      </w:r>
    </w:p>
    <w:p w14:paraId="1A4AB0DC">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（三）经营收入：指事业单位在专业业务活动及其辅助活动之外开展非独立核算经营活动取得的收入。</w:t>
      </w:r>
    </w:p>
    <w:p w14:paraId="1DE4A1D2">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14:paraId="0B2B11FA">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非财政拨款结余：指事业单位在当年的“财政拨款收入”、“财政拨款结转和结余资金”、“事业收入”、“事业单位经营收入”、“其他收入”不足以安排当年支出的情况下，使用以前年度累积的事业基金（当年收支相抵后按国家规定提取、用于弥补以后年度收支差额的基金）弥补本年收支缺口的资金。</w:t>
      </w:r>
    </w:p>
    <w:p w14:paraId="731B3021">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（六）年初结转和结余：指以前年度支出预算因客观条件变化未执行完毕、结转到本年度按有关规定继续使用的资金。</w:t>
      </w:r>
    </w:p>
    <w:p w14:paraId="0011BDD3">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（七）结余分配：指事业单位按照会计制度规定缴纳的所得税以及从非财政拨款结余中提取的职工福利基金、事业基金等。</w:t>
      </w:r>
    </w:p>
    <w:p w14:paraId="3D84C660">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（八）年末结转和结余：指单位本年度或以前年度预算安排、因客观条件发生变化未全部执行或未执行，结转到以后年度继续使用的资金，或项目已完成等产生的结余资金。</w:t>
      </w:r>
    </w:p>
    <w:p w14:paraId="3FB42825">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76F9FC">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（十）项目支出：指在基本支出之外为完成特定任务和事业发展目标所发生的支出。</w:t>
      </w:r>
    </w:p>
    <w:p w14:paraId="1B643E6D">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（十一）经营支出：指事业单位在专业业务活动及其辅助活动之外开展非独立核算经营活动发生的支出。</w:t>
      </w:r>
    </w:p>
    <w:p w14:paraId="19E3D275">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5B09B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5CAC368D">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（十四）工资福利支出（支出经济分类科目类级）：反映单位开支的在职职工和编制外长期聘用人员的各类劳动报酬，以及为上述人员缴纳的各项社会保险费等。</w:t>
      </w:r>
    </w:p>
    <w:p w14:paraId="1F371F4B">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（十五）商品和服务支出（支出经济分类科目类级）：反映单位购买商品和服务的支出（不包括用于购置固定资产的支出、战略性和应急储备支出）。</w:t>
      </w:r>
    </w:p>
    <w:p w14:paraId="6F87B9B3">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（十六）对个人和家庭的补助（支出经济分类科目类级）：反映用于对个人和家庭的补助支出。</w:t>
      </w:r>
    </w:p>
    <w:p w14:paraId="4BEFAD28">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14:paraId="54B68510">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（十八）医疗卫生与计划生育支出（中医（民族）医）：反映卫生健康部门所属中医（民族）医支出。</w:t>
      </w:r>
    </w:p>
    <w:p w14:paraId="203165CE">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（十九）社会保障就业支出：反映单位在社会保障与就业方面的支出。</w:t>
      </w:r>
    </w:p>
    <w:p w14:paraId="407901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5C7863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79DAB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6FF200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1C5070B6">
      <w:pPr>
        <w:pStyle w:val="4"/>
        <w:rPr>
          <w:rFonts w:hint="eastAsia" w:ascii="仿宋_GB2312" w:hAnsi="仿宋_GB2312" w:eastAsia="仿宋_GB2312" w:cs="仿宋_GB2312"/>
          <w:sz w:val="32"/>
          <w:szCs w:val="32"/>
          <w:lang w:eastAsia="zh-CN"/>
        </w:rPr>
      </w:pPr>
    </w:p>
    <w:p w14:paraId="03500ABC">
      <w:pPr>
        <w:rPr>
          <w:rFonts w:hint="eastAsia" w:ascii="仿宋_GB2312" w:hAnsi="仿宋_GB2312" w:eastAsia="仿宋_GB2312" w:cs="仿宋_GB2312"/>
          <w:sz w:val="32"/>
          <w:szCs w:val="32"/>
          <w:lang w:eastAsia="zh-CN"/>
        </w:rPr>
      </w:pPr>
    </w:p>
    <w:p w14:paraId="0531827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林芝市疾病预防控制中心</w:t>
      </w:r>
    </w:p>
    <w:p w14:paraId="296E7C38">
      <w:pPr>
        <w:keepNext w:val="0"/>
        <w:keepLines w:val="0"/>
        <w:pageBreakBefore w:val="0"/>
        <w:widowControl w:val="0"/>
        <w:kinsoku/>
        <w:wordWrap/>
        <w:overflowPunct/>
        <w:topLinePunct w:val="0"/>
        <w:autoSpaceDE/>
        <w:autoSpaceDN/>
        <w:bidi w:val="0"/>
        <w:adjustRightInd/>
        <w:snapToGrid/>
        <w:spacing w:line="576" w:lineRule="exact"/>
        <w:ind w:firstLine="3240" w:firstLineChars="900"/>
        <w:textAlignment w:val="auto"/>
        <w:rPr>
          <w:rFonts w:hint="eastAsia" w:ascii="黑体" w:hAnsi="黑体" w:eastAsia="黑体"/>
          <w:color w:val="auto"/>
          <w:sz w:val="36"/>
          <w:szCs w:val="32"/>
        </w:rPr>
      </w:pPr>
    </w:p>
    <w:p w14:paraId="5174DD90">
      <w:pPr>
        <w:keepNext w:val="0"/>
        <w:keepLines w:val="0"/>
        <w:pageBreakBefore w:val="0"/>
        <w:widowControl w:val="0"/>
        <w:kinsoku/>
        <w:wordWrap/>
        <w:overflowPunct/>
        <w:topLinePunct w:val="0"/>
        <w:autoSpaceDE/>
        <w:autoSpaceDN/>
        <w:bidi w:val="0"/>
        <w:adjustRightInd/>
        <w:snapToGrid/>
        <w:spacing w:line="576" w:lineRule="exact"/>
        <w:ind w:firstLine="3240" w:firstLineChars="900"/>
        <w:textAlignment w:val="auto"/>
        <w:rPr>
          <w:rFonts w:hint="eastAsia" w:ascii="黑体" w:hAnsi="黑体" w:eastAsia="黑体"/>
          <w:color w:val="auto"/>
          <w:sz w:val="36"/>
          <w:szCs w:val="32"/>
        </w:rPr>
      </w:pPr>
      <w:r>
        <w:rPr>
          <w:rFonts w:hint="eastAsia" w:ascii="黑体" w:hAnsi="黑体" w:eastAsia="黑体"/>
          <w:color w:val="auto"/>
          <w:sz w:val="36"/>
          <w:szCs w:val="32"/>
        </w:rPr>
        <w:t>目</w:t>
      </w:r>
      <w:r>
        <w:rPr>
          <w:rFonts w:hint="eastAsia" w:ascii="黑体" w:hAnsi="黑体" w:eastAsia="黑体"/>
          <w:color w:val="auto"/>
          <w:sz w:val="36"/>
          <w:szCs w:val="32"/>
          <w:lang w:val="en-US" w:eastAsia="zh-CN"/>
        </w:rPr>
        <w:t xml:space="preserve"> </w:t>
      </w:r>
      <w:r>
        <w:rPr>
          <w:rFonts w:hint="eastAsia" w:ascii="黑体" w:hAnsi="黑体" w:eastAsia="黑体"/>
          <w:color w:val="auto"/>
          <w:sz w:val="36"/>
          <w:szCs w:val="32"/>
        </w:rPr>
        <w:t xml:space="preserve"> 录</w:t>
      </w:r>
    </w:p>
    <w:p w14:paraId="4D921622">
      <w:pPr>
        <w:pStyle w:val="4"/>
        <w:rPr>
          <w:rFonts w:hint="eastAsia"/>
        </w:rPr>
      </w:pPr>
    </w:p>
    <w:p w14:paraId="1DDAAB2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olor w:val="auto"/>
          <w:sz w:val="32"/>
          <w:szCs w:val="32"/>
        </w:rPr>
      </w:pPr>
      <w:r>
        <w:rPr>
          <w:rFonts w:hint="eastAsia" w:ascii="黑体" w:hAnsi="黑体" w:eastAsia="黑体"/>
          <w:color w:val="auto"/>
          <w:sz w:val="32"/>
          <w:szCs w:val="32"/>
        </w:rPr>
        <w:t>第一部分</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 xml:space="preserve"> 林芝市疾病预防控制中心概况</w:t>
      </w:r>
    </w:p>
    <w:p w14:paraId="28E590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一、部门决算单位构成</w:t>
      </w:r>
    </w:p>
    <w:p w14:paraId="419C28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二、部门职责和机构设置</w:t>
      </w:r>
    </w:p>
    <w:p w14:paraId="49B0977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olor w:val="auto"/>
          <w:spacing w:val="-20"/>
          <w:w w:val="90"/>
          <w:sz w:val="32"/>
          <w:szCs w:val="32"/>
        </w:rPr>
      </w:pPr>
      <w:r>
        <w:rPr>
          <w:rFonts w:hint="eastAsia" w:ascii="黑体" w:hAnsi="黑体" w:eastAsia="黑体"/>
          <w:color w:val="auto"/>
          <w:sz w:val="32"/>
          <w:szCs w:val="32"/>
        </w:rPr>
        <w:t>第二部分</w:t>
      </w:r>
      <w:r>
        <w:rPr>
          <w:rFonts w:hint="eastAsia" w:ascii="黑体" w:hAnsi="黑体" w:eastAsia="黑体"/>
          <w:color w:val="auto"/>
          <w:sz w:val="32"/>
          <w:szCs w:val="32"/>
          <w:lang w:val="en-US" w:eastAsia="zh-CN"/>
        </w:rPr>
        <w:t xml:space="preserve"> </w:t>
      </w:r>
      <w:r>
        <w:rPr>
          <w:rFonts w:hint="eastAsia" w:ascii="黑体" w:hAnsi="黑体" w:eastAsia="黑体"/>
          <w:color w:val="auto"/>
          <w:spacing w:val="-20"/>
          <w:sz w:val="32"/>
          <w:szCs w:val="32"/>
        </w:rPr>
        <w:t xml:space="preserve"> </w:t>
      </w:r>
      <w:r>
        <w:rPr>
          <w:rFonts w:hint="eastAsia" w:ascii="黑体" w:hAnsi="黑体" w:eastAsia="黑体"/>
          <w:color w:val="auto"/>
          <w:spacing w:val="-20"/>
          <w:w w:val="90"/>
          <w:sz w:val="32"/>
          <w:szCs w:val="32"/>
        </w:rPr>
        <w:t>林芝市疾病预防控制中心</w:t>
      </w:r>
      <w:r>
        <w:rPr>
          <w:rFonts w:hint="eastAsia" w:ascii="黑体" w:hAnsi="黑体" w:eastAsia="黑体"/>
          <w:color w:val="auto"/>
          <w:spacing w:val="-20"/>
          <w:w w:val="90"/>
          <w:sz w:val="32"/>
          <w:szCs w:val="32"/>
          <w:lang w:eastAsia="zh-CN"/>
        </w:rPr>
        <w:t>202</w:t>
      </w:r>
      <w:r>
        <w:rPr>
          <w:rFonts w:hint="eastAsia" w:ascii="黑体" w:hAnsi="黑体" w:eastAsia="黑体"/>
          <w:color w:val="auto"/>
          <w:spacing w:val="-20"/>
          <w:w w:val="90"/>
          <w:sz w:val="32"/>
          <w:szCs w:val="32"/>
          <w:lang w:val="en-US" w:eastAsia="zh-CN"/>
        </w:rPr>
        <w:t>3</w:t>
      </w:r>
      <w:r>
        <w:rPr>
          <w:rFonts w:hint="eastAsia" w:ascii="黑体" w:hAnsi="黑体" w:eastAsia="黑体"/>
          <w:color w:val="auto"/>
          <w:spacing w:val="-20"/>
          <w:w w:val="90"/>
          <w:sz w:val="32"/>
          <w:szCs w:val="32"/>
        </w:rPr>
        <w:t>年度部门决算公开明细表</w:t>
      </w:r>
    </w:p>
    <w:p w14:paraId="022F7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一、收入支出决算总表</w:t>
      </w:r>
    </w:p>
    <w:p w14:paraId="29A76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二、财政拨款收入支出决算总表</w:t>
      </w:r>
    </w:p>
    <w:p w14:paraId="2CC42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三、收入支出决算表</w:t>
      </w:r>
    </w:p>
    <w:p w14:paraId="438330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四、收入决算表</w:t>
      </w:r>
    </w:p>
    <w:p w14:paraId="481B3B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五、支出决算表</w:t>
      </w:r>
    </w:p>
    <w:p w14:paraId="06BC91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六、支出决算明细表</w:t>
      </w:r>
    </w:p>
    <w:p w14:paraId="5D1234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七、基本支出决算明细表</w:t>
      </w:r>
    </w:p>
    <w:p w14:paraId="14363B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八、项目支出决算明细表</w:t>
      </w:r>
    </w:p>
    <w:p w14:paraId="655135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九、经营支出决算明细表</w:t>
      </w:r>
    </w:p>
    <w:p w14:paraId="775B6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十、项目支出分项目收入支出决算表</w:t>
      </w:r>
    </w:p>
    <w:p w14:paraId="1397F7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十一、一般公共预算财政拨款收入支出决算表</w:t>
      </w:r>
    </w:p>
    <w:p w14:paraId="4E84EA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十二、一般公共预算财政拨款支出决算明细表</w:t>
      </w:r>
    </w:p>
    <w:p w14:paraId="554AD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十三、一般公共预算财政拨款基本支出决算明细表</w:t>
      </w:r>
    </w:p>
    <w:p w14:paraId="4DF65A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十四、一般公共预算财政拨款项目支出决算明细表</w:t>
      </w:r>
    </w:p>
    <w:p w14:paraId="7833E7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十五、政府性基金预算财政拨款收入支出决算表</w:t>
      </w:r>
    </w:p>
    <w:p w14:paraId="0557C0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十六、政府性基金预算财政拨款支出决算明细表</w:t>
      </w:r>
    </w:p>
    <w:p w14:paraId="341C4D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十七、政府性基金预算财政拨款基本支出决算明细表</w:t>
      </w:r>
    </w:p>
    <w:p w14:paraId="28877B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十八、政府性基金预算财政拨款项目支出决算明细表</w:t>
      </w:r>
    </w:p>
    <w:p w14:paraId="27E48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十九、国有资本经营预算财政拨款收入支出决算表</w:t>
      </w:r>
    </w:p>
    <w:p w14:paraId="150C00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二十、国有资本经营预算财政拨款支出决算明细表</w:t>
      </w:r>
    </w:p>
    <w:p w14:paraId="7499E3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二十一、预算支出相关信息表</w:t>
      </w:r>
    </w:p>
    <w:p w14:paraId="70EDEF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二十二、基本数字表</w:t>
      </w:r>
    </w:p>
    <w:p w14:paraId="7ACDB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二十三、机构运行信息表</w:t>
      </w:r>
    </w:p>
    <w:p w14:paraId="575DC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二十四、非税收入征缴情况表</w:t>
      </w:r>
    </w:p>
    <w:p w14:paraId="412AC0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二十五、基本支出分项目收入支出情况表</w:t>
      </w:r>
    </w:p>
    <w:p w14:paraId="19179DB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olor w:val="auto"/>
          <w:sz w:val="32"/>
          <w:szCs w:val="32"/>
        </w:rPr>
      </w:pPr>
      <w:r>
        <w:rPr>
          <w:rFonts w:hint="eastAsia" w:ascii="黑体" w:hAnsi="黑体" w:eastAsia="黑体"/>
          <w:color w:val="auto"/>
          <w:sz w:val="32"/>
          <w:szCs w:val="32"/>
        </w:rPr>
        <w:t>第三部分  林芝市疾病预防控制中心</w:t>
      </w:r>
      <w:r>
        <w:rPr>
          <w:rFonts w:hint="eastAsia" w:ascii="黑体" w:hAnsi="黑体" w:eastAsia="黑体"/>
          <w:color w:val="auto"/>
          <w:sz w:val="32"/>
          <w:szCs w:val="32"/>
          <w:lang w:eastAsia="zh-CN"/>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年度部门决算情况说明</w:t>
      </w:r>
    </w:p>
    <w:p w14:paraId="76BC63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olor w:val="auto"/>
          <w:sz w:val="32"/>
          <w:szCs w:val="32"/>
        </w:rPr>
      </w:pPr>
      <w:r>
        <w:rPr>
          <w:rFonts w:hint="eastAsia" w:ascii="黑体" w:hAnsi="黑体" w:eastAsia="黑体"/>
          <w:color w:val="auto"/>
          <w:sz w:val="32"/>
          <w:szCs w:val="32"/>
        </w:rPr>
        <w:t>第四部分</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名词解释</w:t>
      </w:r>
    </w:p>
    <w:p w14:paraId="4777F8A4">
      <w:pPr>
        <w:pStyle w:val="4"/>
        <w:rPr>
          <w:rFonts w:hint="eastAsia"/>
        </w:rPr>
      </w:pPr>
    </w:p>
    <w:p w14:paraId="7372B808">
      <w:pPr>
        <w:keepNext w:val="0"/>
        <w:keepLines w:val="0"/>
        <w:pageBreakBefore w:val="0"/>
        <w:widowControl w:val="0"/>
        <w:numPr>
          <w:ilvl w:val="0"/>
          <w:numId w:val="1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林芝市疾病预防控制中心概况</w:t>
      </w:r>
    </w:p>
    <w:p w14:paraId="7E55B2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一、部门决算单位构成</w:t>
      </w:r>
    </w:p>
    <w:p w14:paraId="6EDEAC8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林芝市疾病预防控制中心成立于1986年12月（原林芝地区卫生防疫站），正科级建制，是林芝市卫生健康委员会下属单位，财政全额拨款事业单位，执行政府会计制度，财务实行独立核算。</w:t>
      </w:r>
    </w:p>
    <w:p w14:paraId="621B6D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二、部门职责和机构设置</w:t>
      </w:r>
    </w:p>
    <w:p w14:paraId="7F85135A">
      <w:pPr>
        <w:keepNext w:val="0"/>
        <w:keepLines w:val="0"/>
        <w:pageBreakBefore w:val="0"/>
        <w:widowControl w:val="0"/>
        <w:kinsoku/>
        <w:wordWrap/>
        <w:overflowPunct/>
        <w:topLinePunct w:val="0"/>
        <w:autoSpaceDE/>
        <w:autoSpaceDN/>
        <w:bidi w:val="0"/>
        <w:adjustRightInd/>
        <w:snapToGrid/>
        <w:spacing w:line="576" w:lineRule="exact"/>
        <w:ind w:firstLine="480" w:firstLineChars="150"/>
        <w:textAlignment w:val="auto"/>
        <w:rPr>
          <w:rFonts w:hint="eastAsia" w:ascii="楷体" w:hAnsi="楷体" w:eastAsia="楷体"/>
          <w:color w:val="auto"/>
          <w:sz w:val="32"/>
          <w:szCs w:val="32"/>
        </w:rPr>
      </w:pPr>
      <w:r>
        <w:rPr>
          <w:rFonts w:hint="eastAsia" w:ascii="楷体" w:hAnsi="楷体" w:eastAsia="楷体"/>
          <w:color w:val="auto"/>
          <w:sz w:val="32"/>
          <w:szCs w:val="32"/>
        </w:rPr>
        <w:t>（一）部门职责</w:t>
      </w:r>
    </w:p>
    <w:p w14:paraId="3C6A25AD">
      <w:pPr>
        <w:pStyle w:val="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rightChars="0" w:firstLine="640" w:firstLineChars="200"/>
        <w:jc w:val="left"/>
        <w:textAlignment w:val="auto"/>
        <w:outlineLvl w:val="9"/>
        <w:rPr>
          <w:rFonts w:hint="eastAsia"/>
        </w:rPr>
      </w:pPr>
      <w:r>
        <w:rPr>
          <w:rFonts w:hint="eastAsia" w:ascii="仿宋_GB2312" w:hAnsi="仿宋_GB2312" w:eastAsia="仿宋_GB2312" w:cs="仿宋_GB2312"/>
          <w:color w:val="auto"/>
          <w:kern w:val="2"/>
          <w:sz w:val="32"/>
          <w:szCs w:val="32"/>
          <w:lang w:val="en-US" w:eastAsia="zh-CN" w:bidi="ar-SA"/>
        </w:rPr>
        <w:t>林芝市疾病预防控制中心成立于1986年12月（前身为林芝地区卫生防疫站），是全区成立最晚的一个地市级疾控中心。也是全区唯一一家达标并挂牌的地市级二等卫生防疫站、全区卫生系统首家通过实验室计量认证单位。主要承担全市疾病预防与控制、儿童免疫规划与疫情监测、疾病监测与研究、公共卫生监测检验、突发公共卫生事件应急处置、卫生宣传与健康教育、卫生防疫培训与技术指导、地方病、性病艾滋病、慢性非传染性疾病、寄生虫病、职业病、精神卫生、病媒生物防治等诸多疾病预防控制工作。</w:t>
      </w:r>
    </w:p>
    <w:p w14:paraId="39344EDD">
      <w:pPr>
        <w:keepNext w:val="0"/>
        <w:keepLines w:val="0"/>
        <w:pageBreakBefore w:val="0"/>
        <w:widowControl w:val="0"/>
        <w:kinsoku/>
        <w:wordWrap/>
        <w:overflowPunct/>
        <w:topLinePunct w:val="0"/>
        <w:autoSpaceDE/>
        <w:autoSpaceDN/>
        <w:bidi w:val="0"/>
        <w:adjustRightInd/>
        <w:snapToGrid/>
        <w:spacing w:line="576" w:lineRule="exact"/>
        <w:ind w:firstLine="480" w:firstLineChars="150"/>
        <w:textAlignment w:val="auto"/>
        <w:rPr>
          <w:rFonts w:hint="eastAsia"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eastAsia="zh-CN"/>
        </w:rPr>
        <w:t>二</w:t>
      </w:r>
      <w:r>
        <w:rPr>
          <w:rFonts w:hint="eastAsia" w:ascii="楷体" w:hAnsi="楷体" w:eastAsia="楷体"/>
          <w:color w:val="auto"/>
          <w:sz w:val="32"/>
          <w:szCs w:val="32"/>
        </w:rPr>
        <w:t>）部门机构设置</w:t>
      </w:r>
    </w:p>
    <w:p w14:paraId="2966428D">
      <w:pPr>
        <w:pStyle w:val="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部门内设14个职能机构，分别是财务科、理化检验科、微生物检验科、性艾科、健康教育与慢病科、卫生科、地病科、结麻科、传染病防控科、免疫规划科、寄生虫及病媒生物防治科、中心办公室、党建办公室、采购领导小组办公室。</w:t>
      </w:r>
    </w:p>
    <w:p w14:paraId="6194EBA4">
      <w:pPr>
        <w:pStyle w:val="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截至2023年12月31日，林芝市疾病预防控制中心在职职工人数为59人，核定编制为48名。</w:t>
      </w:r>
    </w:p>
    <w:p w14:paraId="5EB70F8F">
      <w:pPr>
        <w:pStyle w:val="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p>
    <w:p w14:paraId="43284CDF">
      <w:pPr>
        <w:keepNext w:val="0"/>
        <w:keepLines w:val="0"/>
        <w:pageBreakBefore w:val="0"/>
        <w:widowControl w:val="0"/>
        <w:numPr>
          <w:ilvl w:val="0"/>
          <w:numId w:val="1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林芝市疾病预防控制中心</w:t>
      </w:r>
      <w:r>
        <w:rPr>
          <w:rFonts w:hint="eastAsia" w:ascii="方正小标宋简体" w:hAnsi="方正小标宋简体" w:eastAsia="方正小标宋简体" w:cs="方正小标宋简体"/>
          <w:b/>
          <w:bCs/>
          <w:color w:val="000000"/>
          <w:sz w:val="32"/>
          <w:szCs w:val="32"/>
          <w:lang w:eastAsia="zh-CN"/>
        </w:rPr>
        <w:t>202</w:t>
      </w:r>
      <w:r>
        <w:rPr>
          <w:rFonts w:hint="eastAsia" w:ascii="方正小标宋简体" w:hAnsi="方正小标宋简体" w:eastAsia="方正小标宋简体" w:cs="方正小标宋简体"/>
          <w:b/>
          <w:bCs/>
          <w:color w:val="000000"/>
          <w:sz w:val="32"/>
          <w:szCs w:val="32"/>
          <w:lang w:val="en-US" w:eastAsia="zh-CN"/>
        </w:rPr>
        <w:t>3</w:t>
      </w:r>
      <w:r>
        <w:rPr>
          <w:rFonts w:hint="eastAsia" w:ascii="方正小标宋简体" w:hAnsi="方正小标宋简体" w:eastAsia="方正小标宋简体" w:cs="方正小标宋简体"/>
          <w:b/>
          <w:bCs/>
          <w:color w:val="000000"/>
          <w:sz w:val="32"/>
          <w:szCs w:val="32"/>
        </w:rPr>
        <w:t>年度部门决算</w:t>
      </w:r>
    </w:p>
    <w:p w14:paraId="0AE8F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55" w:firstLineChars="1200"/>
        <w:jc w:val="both"/>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明细表</w:t>
      </w:r>
    </w:p>
    <w:p w14:paraId="4D07104E">
      <w:pPr>
        <w:keepNext w:val="0"/>
        <w:keepLines w:val="0"/>
        <w:pageBreakBefore w:val="0"/>
        <w:kinsoku/>
        <w:wordWrap/>
        <w:overflowPunct/>
        <w:topLinePunct w:val="0"/>
        <w:autoSpaceDE/>
        <w:autoSpaceDN/>
        <w:bidi w:val="0"/>
        <w:spacing w:line="576" w:lineRule="exact"/>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（见附表1-25）</w:t>
      </w:r>
    </w:p>
    <w:p w14:paraId="6D726A49">
      <w:pPr>
        <w:pStyle w:val="4"/>
        <w:rPr>
          <w:rFonts w:hint="eastAsia"/>
        </w:rPr>
      </w:pPr>
    </w:p>
    <w:p w14:paraId="0F81E4CA">
      <w:pPr>
        <w:spacing w:line="570" w:lineRule="exact"/>
        <w:ind w:firstLine="140" w:firstLineChars="50"/>
        <w:jc w:val="center"/>
        <w:rPr>
          <w:rFonts w:hint="eastAsia" w:ascii="黑体" w:hAnsi="黑体" w:eastAsia="黑体"/>
          <w:color w:val="FF0000"/>
          <w:spacing w:val="-20"/>
          <w:sz w:val="32"/>
          <w:szCs w:val="32"/>
          <w:lang w:eastAsia="zh-CN"/>
        </w:rPr>
      </w:pPr>
      <w:r>
        <w:rPr>
          <w:rFonts w:hint="eastAsia" w:ascii="黑体" w:hAnsi="黑体" w:eastAsia="黑体"/>
          <w:color w:val="auto"/>
          <w:spacing w:val="-20"/>
          <w:sz w:val="32"/>
          <w:szCs w:val="32"/>
        </w:rPr>
        <w:t xml:space="preserve">第三部分 </w:t>
      </w:r>
      <w:r>
        <w:rPr>
          <w:rFonts w:ascii="黑体" w:hAnsi="黑体" w:eastAsia="黑体"/>
          <w:color w:val="auto"/>
          <w:spacing w:val="-20"/>
          <w:sz w:val="32"/>
          <w:szCs w:val="32"/>
        </w:rPr>
        <w:t xml:space="preserve"> </w:t>
      </w:r>
      <w:r>
        <w:rPr>
          <w:rFonts w:hint="eastAsia" w:ascii="黑体" w:hAnsi="黑体" w:eastAsia="黑体"/>
          <w:color w:val="auto"/>
          <w:spacing w:val="-20"/>
          <w:sz w:val="32"/>
          <w:szCs w:val="32"/>
        </w:rPr>
        <w:t>林芝市疾病预防控制中心</w:t>
      </w:r>
      <w:r>
        <w:rPr>
          <w:rFonts w:hint="eastAsia" w:ascii="黑体" w:hAnsi="黑体" w:eastAsia="黑体"/>
          <w:color w:val="auto"/>
          <w:spacing w:val="-20"/>
          <w:sz w:val="32"/>
          <w:szCs w:val="32"/>
          <w:lang w:eastAsia="zh-CN"/>
        </w:rPr>
        <w:t>202</w:t>
      </w:r>
      <w:r>
        <w:rPr>
          <w:rFonts w:hint="eastAsia" w:ascii="黑体" w:hAnsi="黑体" w:eastAsia="黑体"/>
          <w:color w:val="auto"/>
          <w:spacing w:val="-20"/>
          <w:sz w:val="32"/>
          <w:szCs w:val="32"/>
          <w:lang w:val="en-US" w:eastAsia="zh-CN"/>
        </w:rPr>
        <w:t>3</w:t>
      </w:r>
      <w:r>
        <w:rPr>
          <w:rFonts w:hint="eastAsia" w:ascii="黑体" w:hAnsi="黑体" w:eastAsia="黑体"/>
          <w:color w:val="auto"/>
          <w:spacing w:val="-20"/>
          <w:sz w:val="32"/>
          <w:szCs w:val="32"/>
        </w:rPr>
        <w:t>年度部门决算数据说明</w:t>
      </w:r>
    </w:p>
    <w:p w14:paraId="78BAC79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2</w:t>
      </w:r>
      <w:r>
        <w:rPr>
          <w:rFonts w:ascii="黑体" w:hAnsi="黑体" w:eastAsia="黑体"/>
          <w:color w:val="auto"/>
          <w:sz w:val="32"/>
          <w:szCs w:val="32"/>
        </w:rPr>
        <w:t>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年度一般公共</w:t>
      </w:r>
      <w:r>
        <w:rPr>
          <w:rFonts w:ascii="黑体" w:hAnsi="黑体" w:eastAsia="黑体"/>
          <w:color w:val="auto"/>
          <w:sz w:val="32"/>
          <w:szCs w:val="32"/>
        </w:rPr>
        <w:t>预算收支总体情况说明</w:t>
      </w:r>
    </w:p>
    <w:p w14:paraId="3E4AD9AE">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color w:val="FF0000"/>
          <w:kern w:val="2"/>
          <w:sz w:val="32"/>
          <w:szCs w:val="32"/>
          <w:lang w:val="en-US" w:eastAsia="zh-CN" w:bidi="ar-SA"/>
        </w:rPr>
      </w:pPr>
      <w:r>
        <w:rPr>
          <w:rFonts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121285</wp:posOffset>
            </wp:positionH>
            <wp:positionV relativeFrom="paragraph">
              <wp:posOffset>449580</wp:posOffset>
            </wp:positionV>
            <wp:extent cx="2234565" cy="1652270"/>
            <wp:effectExtent l="0" t="0" r="13335" b="5080"/>
            <wp:wrapSquare wrapText="bothSides"/>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2234565" cy="1652270"/>
                    </a:xfrm>
                    <a:prstGeom prst="rect">
                      <a:avLst/>
                    </a:prstGeom>
                    <a:noFill/>
                    <a:ln>
                      <a:noFill/>
                    </a:ln>
                  </pic:spPr>
                </pic:pic>
              </a:graphicData>
            </a:graphic>
          </wp:anchor>
        </w:drawing>
      </w:r>
      <w:r>
        <w:rPr>
          <w:rFonts w:hint="eastAsia" w:ascii="仿宋_GB2312" w:hAnsi="仿宋_GB2312" w:eastAsia="仿宋_GB2312" w:cs="仿宋_GB2312"/>
          <w:color w:val="auto"/>
          <w:kern w:val="2"/>
          <w:sz w:val="32"/>
          <w:szCs w:val="32"/>
          <w:lang w:val="en-US" w:eastAsia="zh-CN" w:bidi="ar-SA"/>
        </w:rPr>
        <w:t>2023年度，林芝市疾病预防控制中心一般公共预算</w:t>
      </w:r>
      <w:r>
        <w:rPr>
          <w:rFonts w:hint="eastAsia" w:ascii="仿宋_GB2312" w:hAnsi="仿宋_GB2312" w:eastAsia="仿宋_GB2312" w:cs="仿宋_GB2312"/>
          <w:b/>
          <w:bCs/>
          <w:color w:val="auto"/>
          <w:kern w:val="2"/>
          <w:sz w:val="32"/>
          <w:szCs w:val="32"/>
          <w:lang w:val="en-US" w:eastAsia="zh-CN" w:bidi="ar-SA"/>
        </w:rPr>
        <w:t>收入</w:t>
      </w:r>
      <w:r>
        <w:rPr>
          <w:rFonts w:hint="eastAsia" w:ascii="仿宋_GB2312" w:hAnsi="仿宋_GB2312" w:eastAsia="仿宋_GB2312" w:cs="仿宋_GB2312"/>
          <w:color w:val="auto"/>
          <w:kern w:val="2"/>
          <w:sz w:val="32"/>
          <w:szCs w:val="32"/>
          <w:lang w:val="en-US" w:eastAsia="zh-CN" w:bidi="ar-SA"/>
        </w:rPr>
        <w:t>2449.96万元，比2022年3831.98万元减少1382.02万元，同比下降36.06%。一般公共预算</w:t>
      </w:r>
      <w:r>
        <w:rPr>
          <w:rFonts w:hint="eastAsia" w:ascii="仿宋_GB2312" w:hAnsi="仿宋_GB2312" w:eastAsia="仿宋_GB2312" w:cs="仿宋_GB2312"/>
          <w:b/>
          <w:bCs/>
          <w:color w:val="auto"/>
          <w:kern w:val="2"/>
          <w:sz w:val="32"/>
          <w:szCs w:val="32"/>
          <w:lang w:val="en-US" w:eastAsia="zh-CN" w:bidi="ar-SA"/>
        </w:rPr>
        <w:t>支出</w:t>
      </w:r>
      <w:r>
        <w:rPr>
          <w:rFonts w:hint="eastAsia" w:ascii="仿宋_GB2312" w:hAnsi="仿宋_GB2312" w:eastAsia="仿宋_GB2312" w:cs="仿宋_GB2312"/>
          <w:color w:val="auto"/>
          <w:kern w:val="2"/>
          <w:sz w:val="32"/>
          <w:szCs w:val="32"/>
          <w:lang w:val="en-US" w:eastAsia="zh-CN" w:bidi="ar-SA"/>
        </w:rPr>
        <w:t>总计2449.96万元比2022年3831.98万元减少1382.02万元，同比下降36.06%</w:t>
      </w:r>
    </w:p>
    <w:p w14:paraId="2D6AE51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年度</w:t>
      </w:r>
      <w:r>
        <w:rPr>
          <w:rFonts w:ascii="黑体" w:hAnsi="黑体" w:eastAsia="黑体"/>
          <w:color w:val="auto"/>
          <w:sz w:val="32"/>
          <w:szCs w:val="32"/>
        </w:rPr>
        <w:t>一般</w:t>
      </w:r>
      <w:r>
        <w:rPr>
          <w:rFonts w:hint="eastAsia" w:ascii="黑体" w:hAnsi="黑体" w:eastAsia="黑体"/>
          <w:color w:val="auto"/>
          <w:sz w:val="32"/>
          <w:szCs w:val="32"/>
        </w:rPr>
        <w:t>公共</w:t>
      </w:r>
      <w:r>
        <w:rPr>
          <w:rFonts w:ascii="黑体" w:hAnsi="黑体" w:eastAsia="黑体"/>
          <w:color w:val="auto"/>
          <w:sz w:val="32"/>
          <w:szCs w:val="32"/>
        </w:rPr>
        <w:t>预算收入</w:t>
      </w:r>
      <w:r>
        <w:rPr>
          <w:rFonts w:hint="eastAsia" w:ascii="黑体" w:hAnsi="黑体" w:eastAsia="黑体"/>
          <w:color w:val="auto"/>
          <w:sz w:val="32"/>
          <w:szCs w:val="32"/>
        </w:rPr>
        <w:t>情况</w:t>
      </w:r>
      <w:r>
        <w:rPr>
          <w:rFonts w:ascii="黑体" w:hAnsi="黑体" w:eastAsia="黑体"/>
          <w:color w:val="auto"/>
          <w:sz w:val="32"/>
          <w:szCs w:val="32"/>
        </w:rPr>
        <w:t>说明</w:t>
      </w:r>
    </w:p>
    <w:p w14:paraId="3AF63591">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olor w:val="auto"/>
          <w:sz w:val="32"/>
          <w:szCs w:val="32"/>
        </w:rPr>
      </w:pPr>
      <w:r>
        <w:rPr>
          <w:rFonts w:hint="eastAsia" w:ascii="仿宋_GB2312" w:hAnsi="仿宋_GB2312" w:eastAsia="仿宋_GB2312" w:cs="仿宋_GB2312"/>
          <w:color w:val="auto"/>
          <w:kern w:val="2"/>
          <w:sz w:val="32"/>
          <w:szCs w:val="32"/>
          <w:lang w:val="en-US" w:eastAsia="zh-CN" w:bidi="ar-SA"/>
        </w:rPr>
        <w:t>2023年度，林芝市疾病预防控制中心收入总计2449.96万元，其中：年初预算数2166.69万元，调整预算数为2449.96万元。</w:t>
      </w:r>
    </w:p>
    <w:p w14:paraId="69DD339A">
      <w:pPr>
        <w:keepNext w:val="0"/>
        <w:keepLines w:val="0"/>
        <w:pageBreakBefore w:val="0"/>
        <w:kinsoku/>
        <w:wordWrap/>
        <w:overflowPunct/>
        <w:topLinePunct w:val="0"/>
        <w:autoSpaceDE/>
        <w:autoSpaceDN/>
        <w:bidi w:val="0"/>
        <w:spacing w:line="576"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lang w:eastAsia="zh-CN"/>
        </w:rPr>
        <w:t>三、</w:t>
      </w:r>
      <w:r>
        <w:rPr>
          <w:rFonts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年度</w:t>
      </w:r>
      <w:r>
        <w:rPr>
          <w:rFonts w:ascii="黑体" w:hAnsi="黑体" w:eastAsia="黑体"/>
          <w:color w:val="auto"/>
          <w:sz w:val="32"/>
          <w:szCs w:val="32"/>
        </w:rPr>
        <w:t>一般</w:t>
      </w:r>
      <w:r>
        <w:rPr>
          <w:rFonts w:hint="eastAsia" w:ascii="黑体" w:hAnsi="黑体" w:eastAsia="黑体"/>
          <w:color w:val="auto"/>
          <w:sz w:val="32"/>
          <w:szCs w:val="32"/>
        </w:rPr>
        <w:t>公共</w:t>
      </w:r>
      <w:r>
        <w:rPr>
          <w:rFonts w:ascii="黑体" w:hAnsi="黑体" w:eastAsia="黑体"/>
          <w:color w:val="auto"/>
          <w:sz w:val="32"/>
          <w:szCs w:val="32"/>
        </w:rPr>
        <w:t>预算</w:t>
      </w:r>
      <w:r>
        <w:rPr>
          <w:rFonts w:hint="eastAsia" w:ascii="黑体" w:hAnsi="黑体" w:eastAsia="黑体"/>
          <w:color w:val="auto"/>
          <w:sz w:val="32"/>
          <w:szCs w:val="32"/>
        </w:rPr>
        <w:t>支出情况</w:t>
      </w:r>
      <w:r>
        <w:rPr>
          <w:rFonts w:ascii="黑体" w:hAnsi="黑体" w:eastAsia="黑体"/>
          <w:color w:val="auto"/>
          <w:sz w:val="32"/>
          <w:szCs w:val="32"/>
        </w:rPr>
        <w:t>说明</w:t>
      </w:r>
    </w:p>
    <w:p w14:paraId="6C845876">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olor w:val="FF0000"/>
          <w:sz w:val="32"/>
          <w:szCs w:val="32"/>
          <w:lang w:eastAsia="zh-CN"/>
        </w:rPr>
      </w:pPr>
      <w:r>
        <w:rPr>
          <w:rFonts w:hint="eastAsia" w:ascii="仿宋_GB2312" w:hAnsi="仿宋_GB2312" w:eastAsia="仿宋_GB2312" w:cs="仿宋_GB2312"/>
          <w:sz w:val="32"/>
          <w:szCs w:val="32"/>
        </w:rPr>
        <w:drawing>
          <wp:anchor distT="0" distB="0" distL="114300" distR="114300" simplePos="0" relativeHeight="251659264" behindDoc="1" locked="0" layoutInCell="1" allowOverlap="1">
            <wp:simplePos x="0" y="0"/>
            <wp:positionH relativeFrom="column">
              <wp:posOffset>3237230</wp:posOffset>
            </wp:positionH>
            <wp:positionV relativeFrom="paragraph">
              <wp:posOffset>30480</wp:posOffset>
            </wp:positionV>
            <wp:extent cx="2055495" cy="1304290"/>
            <wp:effectExtent l="0" t="0" r="1905" b="10160"/>
            <wp:wrapTight wrapText="bothSides">
              <wp:wrapPolygon>
                <wp:start x="0" y="0"/>
                <wp:lineTo x="0" y="21137"/>
                <wp:lineTo x="21420" y="21137"/>
                <wp:lineTo x="21420" y="0"/>
                <wp:lineTo x="0" y="0"/>
              </wp:wrapPolygon>
            </wp:wrapTight>
            <wp:docPr id="1" name="图片 1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图片2"/>
                    <pic:cNvPicPr>
                      <a:picLocks noChangeAspect="1"/>
                    </pic:cNvPicPr>
                  </pic:nvPicPr>
                  <pic:blipFill>
                    <a:blip r:embed="rId8"/>
                    <a:stretch>
                      <a:fillRect/>
                    </a:stretch>
                  </pic:blipFill>
                  <pic:spPr>
                    <a:xfrm>
                      <a:off x="0" y="0"/>
                      <a:ext cx="2055495" cy="1304290"/>
                    </a:xfrm>
                    <a:prstGeom prst="rect">
                      <a:avLst/>
                    </a:prstGeom>
                    <a:noFill/>
                    <a:ln>
                      <a:noFill/>
                    </a:ln>
                  </pic:spPr>
                </pic:pic>
              </a:graphicData>
            </a:graphic>
          </wp:anchor>
        </w:drawing>
      </w:r>
      <w:r>
        <w:rPr>
          <w:rFonts w:hint="eastAsia" w:ascii="仿宋_GB2312" w:hAnsi="仿宋_GB2312" w:eastAsia="仿宋_GB2312" w:cs="仿宋_GB2312"/>
          <w:color w:val="auto"/>
          <w:kern w:val="2"/>
          <w:sz w:val="32"/>
          <w:szCs w:val="32"/>
          <w:lang w:val="en-US" w:eastAsia="zh-CN" w:bidi="ar-SA"/>
        </w:rPr>
        <w:t>2023年度，林芝市疾病预防控制中心支出总计2449.96万元，其中：基本支出1678.08万元；项目支出771.88万元。</w:t>
      </w:r>
    </w:p>
    <w:p w14:paraId="7ECD48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ascii="黑体" w:hAnsi="黑体" w:eastAsia="黑体"/>
          <w:color w:val="auto"/>
          <w:sz w:val="32"/>
          <w:szCs w:val="32"/>
        </w:rPr>
        <w:t>一般</w:t>
      </w:r>
      <w:r>
        <w:rPr>
          <w:rFonts w:hint="eastAsia" w:ascii="黑体" w:hAnsi="黑体" w:eastAsia="黑体"/>
          <w:color w:val="auto"/>
          <w:sz w:val="32"/>
          <w:szCs w:val="32"/>
        </w:rPr>
        <w:t>公共</w:t>
      </w:r>
      <w:r>
        <w:rPr>
          <w:rFonts w:ascii="黑体" w:hAnsi="黑体" w:eastAsia="黑体"/>
          <w:color w:val="auto"/>
          <w:sz w:val="32"/>
          <w:szCs w:val="32"/>
        </w:rPr>
        <w:t>预算财政拨款</w:t>
      </w:r>
      <w:r>
        <w:rPr>
          <w:rFonts w:hint="eastAsia" w:ascii="黑体" w:hAnsi="黑体" w:eastAsia="黑体"/>
          <w:color w:val="auto"/>
          <w:sz w:val="32"/>
          <w:szCs w:val="32"/>
        </w:rPr>
        <w:t>支出情况</w:t>
      </w:r>
      <w:r>
        <w:rPr>
          <w:rFonts w:ascii="黑体" w:hAnsi="黑体" w:eastAsia="黑体"/>
          <w:color w:val="auto"/>
          <w:sz w:val="32"/>
          <w:szCs w:val="32"/>
        </w:rPr>
        <w:t>说明</w:t>
      </w:r>
    </w:p>
    <w:p w14:paraId="6020A8FD">
      <w:pPr>
        <w:keepNext w:val="0"/>
        <w:keepLines w:val="0"/>
        <w:pageBreakBefore w:val="0"/>
        <w:kinsoku/>
        <w:wordWrap/>
        <w:overflowPunct/>
        <w:topLinePunct w:val="0"/>
        <w:autoSpaceDE/>
        <w:autoSpaceDN/>
        <w:bidi w:val="0"/>
        <w:spacing w:line="576" w:lineRule="exact"/>
        <w:ind w:firstLine="640" w:firstLineChars="200"/>
        <w:textAlignment w:val="auto"/>
        <w:rPr>
          <w:rFonts w:ascii="楷体" w:hAnsi="楷体" w:eastAsia="楷体"/>
          <w:color w:val="auto"/>
          <w:sz w:val="32"/>
          <w:szCs w:val="32"/>
        </w:rPr>
      </w:pPr>
      <w:r>
        <w:rPr>
          <w:rFonts w:hint="eastAsia" w:ascii="楷体" w:hAnsi="楷体" w:eastAsia="楷体"/>
          <w:color w:val="auto"/>
          <w:sz w:val="32"/>
          <w:szCs w:val="32"/>
          <w:lang w:val="en-US" w:eastAsia="zh-CN"/>
        </w:rPr>
        <w:t>（一）</w:t>
      </w:r>
      <w:r>
        <w:rPr>
          <w:rFonts w:hint="eastAsia" w:ascii="楷体" w:hAnsi="楷体" w:eastAsia="楷体"/>
          <w:color w:val="auto"/>
          <w:sz w:val="32"/>
          <w:szCs w:val="32"/>
        </w:rPr>
        <w:t>财政</w:t>
      </w:r>
      <w:r>
        <w:rPr>
          <w:rFonts w:ascii="楷体" w:hAnsi="楷体" w:eastAsia="楷体"/>
          <w:color w:val="auto"/>
          <w:sz w:val="32"/>
          <w:szCs w:val="32"/>
        </w:rPr>
        <w:t>拨款支出</w:t>
      </w:r>
      <w:r>
        <w:rPr>
          <w:rFonts w:hint="eastAsia" w:ascii="楷体" w:hAnsi="楷体" w:eastAsia="楷体"/>
          <w:color w:val="auto"/>
          <w:sz w:val="32"/>
          <w:szCs w:val="32"/>
        </w:rPr>
        <w:t>决算</w:t>
      </w:r>
      <w:r>
        <w:rPr>
          <w:rFonts w:ascii="楷体" w:hAnsi="楷体" w:eastAsia="楷体"/>
          <w:color w:val="auto"/>
          <w:sz w:val="32"/>
          <w:szCs w:val="32"/>
        </w:rPr>
        <w:t>总体情况</w:t>
      </w:r>
    </w:p>
    <w:p w14:paraId="69EACA56">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2023年度，林芝市疾病预防控制中心财政拨款支出总计2449.96万元，其中：基本支出1678.08万元；项目支出771.88万元。</w:t>
      </w:r>
    </w:p>
    <w:p w14:paraId="48DE7697">
      <w:pPr>
        <w:keepNext w:val="0"/>
        <w:keepLines w:val="0"/>
        <w:pageBreakBefore w:val="0"/>
        <w:kinsoku/>
        <w:wordWrap/>
        <w:overflowPunct/>
        <w:topLinePunct w:val="0"/>
        <w:autoSpaceDE/>
        <w:autoSpaceDN/>
        <w:bidi w:val="0"/>
        <w:spacing w:line="576" w:lineRule="exact"/>
        <w:ind w:firstLine="640" w:firstLineChars="200"/>
        <w:textAlignment w:val="auto"/>
        <w:rPr>
          <w:rFonts w:ascii="楷体" w:hAnsi="楷体" w:eastAsia="楷体"/>
          <w:color w:val="auto"/>
          <w:sz w:val="32"/>
          <w:szCs w:val="32"/>
        </w:rPr>
      </w:pPr>
      <w:r>
        <w:rPr>
          <w:rFonts w:hint="eastAsia" w:ascii="楷体" w:hAnsi="楷体" w:eastAsia="楷体"/>
          <w:color w:val="auto"/>
          <w:sz w:val="32"/>
          <w:szCs w:val="32"/>
          <w:lang w:val="en-US" w:eastAsia="zh-CN"/>
        </w:rPr>
        <w:t>（二）</w:t>
      </w:r>
      <w:r>
        <w:rPr>
          <w:rFonts w:hint="eastAsia" w:ascii="楷体" w:hAnsi="楷体" w:eastAsia="楷体"/>
          <w:color w:val="auto"/>
          <w:sz w:val="32"/>
          <w:szCs w:val="32"/>
        </w:rPr>
        <w:t>财政</w:t>
      </w:r>
      <w:r>
        <w:rPr>
          <w:rFonts w:ascii="楷体" w:hAnsi="楷体" w:eastAsia="楷体"/>
          <w:color w:val="auto"/>
          <w:sz w:val="32"/>
          <w:szCs w:val="32"/>
        </w:rPr>
        <w:t>拨款支出决算</w:t>
      </w:r>
      <w:r>
        <w:rPr>
          <w:rFonts w:hint="eastAsia" w:ascii="楷体" w:hAnsi="楷体" w:eastAsia="楷体"/>
          <w:color w:val="auto"/>
          <w:sz w:val="32"/>
          <w:szCs w:val="32"/>
        </w:rPr>
        <w:t>结构</w:t>
      </w:r>
      <w:r>
        <w:rPr>
          <w:rFonts w:ascii="楷体" w:hAnsi="楷体" w:eastAsia="楷体"/>
          <w:color w:val="auto"/>
          <w:sz w:val="32"/>
          <w:szCs w:val="32"/>
        </w:rPr>
        <w:t>情况</w:t>
      </w:r>
    </w:p>
    <w:p w14:paraId="1F410E8B">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林芝市疾病预防控制中心2023年度财政拨款支出2449.96万元，其中:社会保障和就业支出（类）176.44万元，占7.2%；卫生健康支出(类)2075.52万元，占84.71%；住房保障支出（类）198万元，占8.09%。</w:t>
      </w:r>
    </w:p>
    <w:p w14:paraId="4C623779">
      <w:pPr>
        <w:keepNext w:val="0"/>
        <w:keepLines w:val="0"/>
        <w:pageBreakBefore w:val="0"/>
        <w:kinsoku/>
        <w:wordWrap/>
        <w:overflowPunct/>
        <w:topLinePunct w:val="0"/>
        <w:autoSpaceDE/>
        <w:autoSpaceDN/>
        <w:bidi w:val="0"/>
        <w:spacing w:line="576" w:lineRule="exact"/>
        <w:ind w:firstLine="640" w:firstLineChars="200"/>
        <w:textAlignment w:val="auto"/>
        <w:rPr>
          <w:rFonts w:ascii="楷体" w:hAnsi="楷体" w:eastAsia="楷体"/>
          <w:color w:val="auto"/>
          <w:sz w:val="32"/>
          <w:szCs w:val="32"/>
        </w:rPr>
      </w:pPr>
      <w:r>
        <w:rPr>
          <w:rFonts w:hint="eastAsia" w:ascii="楷体" w:hAnsi="楷体" w:eastAsia="楷体"/>
          <w:color w:val="auto"/>
          <w:sz w:val="32"/>
          <w:szCs w:val="32"/>
          <w:lang w:val="en-US" w:eastAsia="zh-CN"/>
        </w:rPr>
        <w:t>（三）</w:t>
      </w:r>
      <w:r>
        <w:rPr>
          <w:rFonts w:hint="eastAsia" w:ascii="楷体" w:hAnsi="楷体" w:eastAsia="楷体"/>
          <w:color w:val="auto"/>
          <w:sz w:val="32"/>
          <w:szCs w:val="32"/>
        </w:rPr>
        <w:t>财政</w:t>
      </w:r>
      <w:r>
        <w:rPr>
          <w:rFonts w:ascii="楷体" w:hAnsi="楷体" w:eastAsia="楷体"/>
          <w:color w:val="auto"/>
          <w:sz w:val="32"/>
          <w:szCs w:val="32"/>
        </w:rPr>
        <w:t>拨款支出决算</w:t>
      </w:r>
      <w:r>
        <w:rPr>
          <w:rFonts w:hint="eastAsia" w:ascii="楷体" w:hAnsi="楷体" w:eastAsia="楷体"/>
          <w:color w:val="auto"/>
          <w:sz w:val="32"/>
          <w:szCs w:val="32"/>
        </w:rPr>
        <w:t>具体</w:t>
      </w:r>
      <w:r>
        <w:rPr>
          <w:rFonts w:ascii="楷体" w:hAnsi="楷体" w:eastAsia="楷体"/>
          <w:color w:val="auto"/>
          <w:sz w:val="32"/>
          <w:szCs w:val="32"/>
        </w:rPr>
        <w:t>情况</w:t>
      </w:r>
    </w:p>
    <w:p w14:paraId="5C6D1205">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1.社会保障和就业支出(类)行政事业单位养老支出(款)机关事业单位基本养老保险缴费支出(项)152.85万元; </w:t>
      </w:r>
    </w:p>
    <w:p w14:paraId="01FEDD52">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495"/>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2.社会保障和就业支出(类)财政对其他社会保险基金的补助(款)财政对失业保险基金的补助(项)4.78万元;</w:t>
      </w:r>
    </w:p>
    <w:p w14:paraId="69CE89A8">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495"/>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3.社会保障和就业支出(类)财政对其他社会保险基金的补助(款)财政对工伤保险基金的补助(项)0.95万元;</w:t>
      </w:r>
    </w:p>
    <w:p w14:paraId="598A702D">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495"/>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4.社会保障和就业支出(类)就业补助（款）公益性岗位补贴(项)2.41万元；</w:t>
      </w:r>
    </w:p>
    <w:p w14:paraId="7C3C12AB">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495"/>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5.社会保障和就业支出(类)就业补助（款）其他就业补助支出(项)15.45万元；</w:t>
      </w:r>
    </w:p>
    <w:p w14:paraId="6103A20F">
      <w:pPr>
        <w:keepNext w:val="0"/>
        <w:keepLines w:val="0"/>
        <w:pageBreakBefore w:val="0"/>
        <w:kinsoku/>
        <w:wordWrap/>
        <w:overflowPunct/>
        <w:topLinePunct w:val="0"/>
        <w:autoSpaceDE/>
        <w:autoSpaceDN/>
        <w:bidi w:val="0"/>
        <w:adjustRightInd/>
        <w:snapToGrid/>
        <w:spacing w:beforeAutospacing="0" w:afterAutospacing="0" w:line="576" w:lineRule="exact"/>
        <w:ind w:firstLine="480" w:firstLineChars="15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6.卫生健康支出(类)公共卫生(款)疾病预防控制机构(项)1495.15万元;</w:t>
      </w:r>
    </w:p>
    <w:p w14:paraId="3A824900">
      <w:pPr>
        <w:keepNext w:val="0"/>
        <w:keepLines w:val="0"/>
        <w:pageBreakBefore w:val="0"/>
        <w:kinsoku/>
        <w:wordWrap/>
        <w:overflowPunct/>
        <w:topLinePunct w:val="0"/>
        <w:autoSpaceDE/>
        <w:autoSpaceDN/>
        <w:bidi w:val="0"/>
        <w:spacing w:line="576" w:lineRule="exact"/>
        <w:ind w:firstLine="480" w:firstLineChars="1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7.卫生健康支出(类)公共卫生(款)精神卫生机构(项)25万元；</w:t>
      </w:r>
    </w:p>
    <w:p w14:paraId="48C77D2E">
      <w:pPr>
        <w:keepNext w:val="0"/>
        <w:keepLines w:val="0"/>
        <w:pageBreakBefore w:val="0"/>
        <w:kinsoku/>
        <w:wordWrap/>
        <w:overflowPunct/>
        <w:topLinePunct w:val="0"/>
        <w:autoSpaceDE/>
        <w:autoSpaceDN/>
        <w:bidi w:val="0"/>
        <w:spacing w:line="576" w:lineRule="exact"/>
        <w:ind w:firstLine="480" w:firstLineChars="15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8.卫生健康支出(类)公共卫生(款)基本公共卫生服务(项)35.06万元；</w:t>
      </w:r>
    </w:p>
    <w:p w14:paraId="1588EAFD">
      <w:pPr>
        <w:keepNext w:val="0"/>
        <w:keepLines w:val="0"/>
        <w:pageBreakBefore w:val="0"/>
        <w:kinsoku/>
        <w:wordWrap/>
        <w:overflowPunct/>
        <w:topLinePunct w:val="0"/>
        <w:autoSpaceDE/>
        <w:autoSpaceDN/>
        <w:bidi w:val="0"/>
        <w:spacing w:line="576" w:lineRule="exact"/>
        <w:ind w:firstLine="480" w:firstLineChars="15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9.卫生健康支出(类)公共卫生(款)重大公共卫生服务(项)429.29万元；</w:t>
      </w:r>
    </w:p>
    <w:p w14:paraId="03A611FB">
      <w:pPr>
        <w:keepNext w:val="0"/>
        <w:keepLines w:val="0"/>
        <w:pageBreakBefore w:val="0"/>
        <w:kinsoku/>
        <w:wordWrap/>
        <w:overflowPunct/>
        <w:topLinePunct w:val="0"/>
        <w:autoSpaceDE/>
        <w:autoSpaceDN/>
        <w:bidi w:val="0"/>
        <w:spacing w:line="576" w:lineRule="exact"/>
        <w:ind w:firstLine="480" w:firstLineChars="15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10.卫生健康支出(类)行政事业单位医疗(款)事业单位医疗支出(项)73.56万元；</w:t>
      </w:r>
    </w:p>
    <w:p w14:paraId="37646478">
      <w:pPr>
        <w:keepNext w:val="0"/>
        <w:keepLines w:val="0"/>
        <w:pageBreakBefore w:val="0"/>
        <w:kinsoku/>
        <w:wordWrap/>
        <w:overflowPunct/>
        <w:topLinePunct w:val="0"/>
        <w:autoSpaceDE/>
        <w:autoSpaceDN/>
        <w:bidi w:val="0"/>
        <w:spacing w:line="576" w:lineRule="exact"/>
        <w:ind w:firstLine="480" w:firstLineChars="15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11.卫生健康支出(类)行政事业单位医疗(款)其他行政事业单位医疗支出(项)17.46万元；</w:t>
      </w:r>
    </w:p>
    <w:p w14:paraId="600ECED5">
      <w:pPr>
        <w:keepNext w:val="0"/>
        <w:keepLines w:val="0"/>
        <w:pageBreakBefore w:val="0"/>
        <w:kinsoku/>
        <w:wordWrap/>
        <w:overflowPunct/>
        <w:topLinePunct w:val="0"/>
        <w:autoSpaceDE/>
        <w:autoSpaceDN/>
        <w:bidi w:val="0"/>
        <w:spacing w:line="576" w:lineRule="exact"/>
        <w:ind w:firstLine="480" w:firstLineChars="1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12.住房保障支出(类)住房改革支出(款)住房公积金(项)117.51万元;</w:t>
      </w:r>
    </w:p>
    <w:p w14:paraId="04F9E92B">
      <w:pPr>
        <w:keepNext w:val="0"/>
        <w:keepLines w:val="0"/>
        <w:pageBreakBefore w:val="0"/>
        <w:kinsoku/>
        <w:wordWrap/>
        <w:overflowPunct/>
        <w:topLinePunct w:val="0"/>
        <w:autoSpaceDE/>
        <w:autoSpaceDN/>
        <w:bidi w:val="0"/>
        <w:spacing w:line="576" w:lineRule="exact"/>
        <w:ind w:firstLine="480" w:firstLineChars="1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13.住房保障支出(类)住房改革支出(款)购房补贴(项)80.49万元;</w:t>
      </w:r>
    </w:p>
    <w:p w14:paraId="03DC7F06">
      <w:pPr>
        <w:keepNext w:val="0"/>
        <w:keepLines w:val="0"/>
        <w:pageBreakBefore w:val="0"/>
        <w:kinsoku/>
        <w:wordWrap/>
        <w:overflowPunct/>
        <w:topLinePunct w:val="0"/>
        <w:autoSpaceDE/>
        <w:autoSpaceDN/>
        <w:bidi w:val="0"/>
        <w:spacing w:line="576" w:lineRule="exact"/>
        <w:ind w:firstLine="560" w:firstLineChars="200"/>
        <w:textAlignment w:val="auto"/>
        <w:rPr>
          <w:rFonts w:hint="eastAsia" w:ascii="仿宋" w:hAnsi="仿宋" w:eastAsia="仿宋" w:cs="Arial"/>
          <w:color w:val="auto"/>
          <w:sz w:val="32"/>
          <w:szCs w:val="32"/>
        </w:rPr>
      </w:pPr>
      <w:r>
        <w:rPr>
          <w:rFonts w:hint="eastAsia" w:ascii="黑体" w:hAnsi="黑体" w:eastAsia="黑体"/>
          <w:color w:val="auto"/>
          <w:spacing w:val="-20"/>
          <w:sz w:val="32"/>
          <w:szCs w:val="32"/>
          <w:lang w:eastAsia="zh-CN"/>
        </w:rPr>
        <w:t>五、</w:t>
      </w:r>
      <w:r>
        <w:rPr>
          <w:rFonts w:ascii="黑体" w:hAnsi="黑体" w:eastAsia="黑体"/>
          <w:color w:val="auto"/>
          <w:spacing w:val="-20"/>
          <w:sz w:val="32"/>
          <w:szCs w:val="32"/>
        </w:rPr>
        <w:t>202</w:t>
      </w:r>
      <w:r>
        <w:rPr>
          <w:rFonts w:hint="eastAsia" w:ascii="黑体" w:hAnsi="黑体" w:eastAsia="黑体"/>
          <w:color w:val="auto"/>
          <w:spacing w:val="-20"/>
          <w:sz w:val="32"/>
          <w:szCs w:val="32"/>
          <w:lang w:val="en-US" w:eastAsia="zh-CN"/>
        </w:rPr>
        <w:t>3</w:t>
      </w:r>
      <w:r>
        <w:rPr>
          <w:rFonts w:hint="eastAsia" w:ascii="黑体" w:hAnsi="黑体" w:eastAsia="黑体"/>
          <w:color w:val="auto"/>
          <w:spacing w:val="-20"/>
          <w:sz w:val="32"/>
          <w:szCs w:val="32"/>
        </w:rPr>
        <w:t>年度</w:t>
      </w:r>
      <w:r>
        <w:rPr>
          <w:rFonts w:ascii="黑体" w:hAnsi="黑体" w:eastAsia="黑体"/>
          <w:color w:val="auto"/>
          <w:spacing w:val="-20"/>
          <w:sz w:val="32"/>
          <w:szCs w:val="32"/>
        </w:rPr>
        <w:t>一般公共预算财政拨款</w:t>
      </w:r>
      <w:r>
        <w:rPr>
          <w:rFonts w:hint="eastAsia" w:ascii="黑体" w:hAnsi="黑体" w:eastAsia="黑体"/>
          <w:color w:val="auto"/>
          <w:spacing w:val="-20"/>
          <w:sz w:val="32"/>
          <w:szCs w:val="32"/>
        </w:rPr>
        <w:t>基本支出</w:t>
      </w:r>
      <w:r>
        <w:rPr>
          <w:rFonts w:ascii="黑体" w:hAnsi="黑体" w:eastAsia="黑体"/>
          <w:color w:val="auto"/>
          <w:spacing w:val="-20"/>
          <w:sz w:val="32"/>
          <w:szCs w:val="32"/>
        </w:rPr>
        <w:t>决算情况说明</w:t>
      </w:r>
    </w:p>
    <w:p w14:paraId="5D006332">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林芝市疾病预防控制中心2023年一般公共预算财政拨款基本支出1678.08万元，占全年总支出的68.49%,其中:</w:t>
      </w:r>
      <w:r>
        <w:rPr>
          <w:rFonts w:hint="eastAsia" w:ascii="仿宋" w:hAnsi="仿宋" w:eastAsia="仿宋"/>
          <w:b/>
          <w:color w:val="auto"/>
          <w:sz w:val="32"/>
          <w:szCs w:val="32"/>
        </w:rPr>
        <w:t>人员</w:t>
      </w:r>
      <w:r>
        <w:rPr>
          <w:rFonts w:ascii="仿宋" w:hAnsi="仿宋" w:eastAsia="仿宋"/>
          <w:b/>
          <w:color w:val="auto"/>
          <w:sz w:val="32"/>
          <w:szCs w:val="32"/>
        </w:rPr>
        <w:t>经费</w:t>
      </w:r>
      <w:r>
        <w:rPr>
          <w:rFonts w:hint="eastAsia" w:ascii="仿宋" w:hAnsi="仿宋" w:eastAsia="仿宋"/>
          <w:b/>
          <w:color w:val="auto"/>
          <w:sz w:val="32"/>
          <w:szCs w:val="32"/>
          <w:lang w:val="en-US" w:eastAsia="zh-CN"/>
        </w:rPr>
        <w:t>1598.41</w:t>
      </w:r>
      <w:r>
        <w:rPr>
          <w:rFonts w:hint="eastAsia" w:ascii="仿宋" w:hAnsi="仿宋" w:eastAsia="仿宋"/>
          <w:b/>
          <w:color w:val="auto"/>
          <w:sz w:val="32"/>
          <w:szCs w:val="32"/>
        </w:rPr>
        <w:t>万元</w:t>
      </w:r>
      <w:r>
        <w:rPr>
          <w:rFonts w:hint="eastAsia" w:ascii="仿宋_GB2312" w:hAnsi="仿宋_GB2312" w:eastAsia="仿宋_GB2312" w:cs="仿宋_GB2312"/>
          <w:color w:val="auto"/>
          <w:kern w:val="2"/>
          <w:sz w:val="32"/>
          <w:szCs w:val="32"/>
          <w:lang w:val="en-US" w:eastAsia="zh-CN" w:bidi="ar-SA"/>
        </w:rPr>
        <w:t>,主要包括基本工资、津贴补贴、奖金、社会保障缴费、其他工资福利支出、住房公积金、购房补贴等；</w:t>
      </w:r>
      <w:r>
        <w:rPr>
          <w:rFonts w:ascii="仿宋" w:hAnsi="仿宋" w:eastAsia="仿宋"/>
          <w:b/>
          <w:color w:val="auto"/>
          <w:sz w:val="32"/>
          <w:szCs w:val="32"/>
        </w:rPr>
        <w:t>公用经费</w:t>
      </w:r>
      <w:r>
        <w:rPr>
          <w:rFonts w:hint="eastAsia" w:ascii="仿宋" w:hAnsi="仿宋" w:eastAsia="仿宋"/>
          <w:b/>
          <w:color w:val="auto"/>
          <w:sz w:val="32"/>
          <w:szCs w:val="32"/>
          <w:lang w:val="en-US" w:eastAsia="zh-CN"/>
        </w:rPr>
        <w:t>79.67</w:t>
      </w:r>
      <w:r>
        <w:rPr>
          <w:rFonts w:hint="eastAsia" w:ascii="仿宋" w:hAnsi="仿宋" w:eastAsia="仿宋"/>
          <w:b/>
          <w:color w:val="auto"/>
          <w:sz w:val="32"/>
          <w:szCs w:val="32"/>
        </w:rPr>
        <w:t>万元</w:t>
      </w:r>
      <w:r>
        <w:rPr>
          <w:rFonts w:ascii="仿宋" w:hAnsi="仿宋" w:eastAsia="仿宋"/>
          <w:color w:val="auto"/>
          <w:sz w:val="32"/>
          <w:szCs w:val="32"/>
        </w:rPr>
        <w:t>，</w:t>
      </w:r>
      <w:r>
        <w:rPr>
          <w:rFonts w:hint="eastAsia" w:ascii="仿宋_GB2312" w:hAnsi="仿宋_GB2312" w:eastAsia="仿宋_GB2312" w:cs="仿宋_GB2312"/>
          <w:color w:val="auto"/>
          <w:kern w:val="2"/>
          <w:sz w:val="32"/>
          <w:szCs w:val="32"/>
          <w:lang w:val="en-US" w:eastAsia="zh-CN" w:bidi="ar-SA"/>
        </w:rPr>
        <w:t>主要包括办公费、水费、电费、邮电费、差旅费、维修（护）费、培训费、公务接待费、专用材料费、工会经费、公务用车运行维护费、其他商品和服务支出、办公设备购置、专用设备购置等。</w:t>
      </w:r>
    </w:p>
    <w:p w14:paraId="3D3CC9E6">
      <w:pPr>
        <w:keepNext w:val="0"/>
        <w:keepLines w:val="0"/>
        <w:pageBreakBefore w:val="0"/>
        <w:kinsoku/>
        <w:wordWrap/>
        <w:overflowPunct/>
        <w:topLinePunct w:val="0"/>
        <w:autoSpaceDE/>
        <w:autoSpaceDN/>
        <w:bidi w:val="0"/>
        <w:spacing w:line="576" w:lineRule="exact"/>
        <w:ind w:firstLine="560" w:firstLineChars="200"/>
        <w:textAlignment w:val="auto"/>
        <w:rPr>
          <w:rFonts w:hint="eastAsia" w:ascii="黑体" w:hAnsi="黑体" w:eastAsia="黑体"/>
          <w:color w:val="auto"/>
          <w:spacing w:val="-20"/>
          <w:sz w:val="32"/>
          <w:szCs w:val="32"/>
        </w:rPr>
      </w:pPr>
      <w:r>
        <w:rPr>
          <w:rFonts w:hint="eastAsia" w:ascii="黑体" w:hAnsi="黑体" w:eastAsia="黑体"/>
          <w:color w:val="auto"/>
          <w:spacing w:val="-20"/>
          <w:sz w:val="32"/>
          <w:szCs w:val="32"/>
          <w:lang w:eastAsia="zh-CN"/>
        </w:rPr>
        <w:t>六、</w:t>
      </w:r>
      <w:r>
        <w:rPr>
          <w:rFonts w:ascii="黑体" w:hAnsi="黑体" w:eastAsia="黑体"/>
          <w:color w:val="auto"/>
          <w:spacing w:val="-20"/>
          <w:sz w:val="32"/>
          <w:szCs w:val="32"/>
        </w:rPr>
        <w:t>一般公共预算财政拨款</w:t>
      </w:r>
      <w:r>
        <w:rPr>
          <w:rFonts w:hint="eastAsia" w:ascii="黑体" w:hAnsi="黑体" w:eastAsia="黑体"/>
          <w:color w:val="auto"/>
          <w:spacing w:val="-20"/>
          <w:sz w:val="32"/>
          <w:szCs w:val="32"/>
        </w:rPr>
        <w:t>“三公”经费支出</w:t>
      </w:r>
      <w:r>
        <w:rPr>
          <w:rFonts w:ascii="黑体" w:hAnsi="黑体" w:eastAsia="黑体"/>
          <w:color w:val="auto"/>
          <w:spacing w:val="-20"/>
          <w:sz w:val="32"/>
          <w:szCs w:val="32"/>
        </w:rPr>
        <w:t>决算情况说明</w:t>
      </w:r>
    </w:p>
    <w:p w14:paraId="2B806A08">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FF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2023年度林芝市疾病预防控制中心一般公共预算财政拨款“三公”经费支出</w:t>
      </w:r>
      <w:r>
        <w:rPr>
          <w:rFonts w:hint="eastAsia" w:ascii="仿宋_GB2312" w:hAnsi="仿宋_GB2312" w:eastAsia="仿宋_GB2312" w:cs="仿宋_GB2312"/>
          <w:b/>
          <w:bCs/>
          <w:color w:val="auto"/>
          <w:kern w:val="2"/>
          <w:sz w:val="32"/>
          <w:szCs w:val="32"/>
          <w:lang w:val="en-US" w:eastAsia="zh-CN" w:bidi="ar-SA"/>
        </w:rPr>
        <w:t>决算数23.43万元</w:t>
      </w:r>
      <w:r>
        <w:rPr>
          <w:rFonts w:hint="eastAsia" w:ascii="仿宋_GB2312" w:hAnsi="仿宋_GB2312" w:eastAsia="仿宋_GB2312" w:cs="仿宋_GB2312"/>
          <w:color w:val="auto"/>
          <w:kern w:val="2"/>
          <w:sz w:val="32"/>
          <w:szCs w:val="32"/>
          <w:lang w:val="en-US" w:eastAsia="zh-CN" w:bidi="ar-SA"/>
        </w:rPr>
        <w:t>（其中9.6万元为公用经费中数据，133456.34元为专项经费中数据），2022年决算公开数据14.23万元仅为公用经费中三公经费数据，</w:t>
      </w:r>
      <w:r>
        <w:rPr>
          <w:rFonts w:hint="eastAsia" w:ascii="仿宋_GB2312" w:hAnsi="仿宋_GB2312" w:eastAsia="仿宋_GB2312" w:cs="仿宋_GB2312"/>
          <w:b/>
          <w:bCs/>
          <w:color w:val="auto"/>
          <w:kern w:val="2"/>
          <w:sz w:val="32"/>
          <w:szCs w:val="32"/>
          <w:lang w:val="en-US" w:eastAsia="zh-CN" w:bidi="ar-SA"/>
        </w:rPr>
        <w:t>2022年实际“三公经费支出”总数24.64万元。</w:t>
      </w:r>
      <w:r>
        <w:rPr>
          <w:rFonts w:hint="eastAsia" w:ascii="仿宋_GB2312" w:hAnsi="仿宋_GB2312" w:eastAsia="仿宋_GB2312" w:cs="仿宋_GB2312"/>
          <w:b w:val="0"/>
          <w:bCs w:val="0"/>
          <w:color w:val="auto"/>
          <w:kern w:val="2"/>
          <w:sz w:val="32"/>
          <w:szCs w:val="32"/>
          <w:lang w:val="en-US" w:eastAsia="zh-CN" w:bidi="ar-SA"/>
        </w:rPr>
        <w:t>2023年同比2022年减少1.21万元，下降4.91%。</w:t>
      </w:r>
      <w:r>
        <w:rPr>
          <w:rFonts w:hint="eastAsia" w:ascii="仿宋_GB2312" w:hAnsi="仿宋_GB2312" w:eastAsia="仿宋_GB2312" w:cs="仿宋_GB2312"/>
          <w:color w:val="auto"/>
          <w:kern w:val="2"/>
          <w:sz w:val="32"/>
          <w:szCs w:val="32"/>
          <w:lang w:val="en-US" w:eastAsia="zh-CN" w:bidi="ar-SA"/>
        </w:rPr>
        <w:t>2023年“三公”经费年初预算数11.15万元（仅为公用经费部分），2023年决算数</w:t>
      </w:r>
      <w:r>
        <w:rPr>
          <w:rFonts w:hint="eastAsia" w:ascii="仿宋_GB2312" w:hAnsi="仿宋_GB2312" w:eastAsia="仿宋_GB2312" w:cs="仿宋_GB2312"/>
          <w:b w:val="0"/>
          <w:bCs w:val="0"/>
          <w:color w:val="auto"/>
          <w:kern w:val="2"/>
          <w:sz w:val="32"/>
          <w:szCs w:val="32"/>
          <w:lang w:val="en-US" w:eastAsia="zh-CN" w:bidi="ar-SA"/>
        </w:rPr>
        <w:t>23.43万元（包含专项和公用部分）。其中2023年因公出国（境）费预算0万元，支出0万元，与2022年相比无变化；2023年公务用车购置费预算0万元，支出0万元，与2022年相比无变化；2023公务用车运行维护费年初预算10万元，2023年决算支出数22.95万元（其中9.6万元为公用经费，13.35万元为专项经费），决算数按照公用经费与预算数相比未超标。公务用车运行维护费与2022年相比变化不大。2023年公务接待费年初预算数1.15万元，2023年决算支出数0.48万元，与年初预算相比未超标。2022年因疫情原因无公务接待。</w:t>
      </w:r>
      <w:r>
        <w:rPr>
          <w:rFonts w:hint="eastAsia" w:ascii="仿宋_GB2312" w:hAnsi="仿宋_GB2312" w:eastAsia="仿宋_GB2312" w:cs="仿宋_GB2312"/>
          <w:color w:val="auto"/>
          <w:kern w:val="2"/>
          <w:sz w:val="32"/>
          <w:szCs w:val="32"/>
          <w:lang w:val="en-US" w:eastAsia="zh-CN" w:bidi="ar-SA"/>
        </w:rPr>
        <w:t>2023年年末车辆保有量5辆，相比去年无变化，在册登记5辆公车有2辆为冷链运输车，其他3辆为日常业务用车。</w:t>
      </w:r>
    </w:p>
    <w:p w14:paraId="5A625875">
      <w:pPr>
        <w:keepNext w:val="0"/>
        <w:keepLines w:val="0"/>
        <w:pageBreakBefore w:val="0"/>
        <w:kinsoku/>
        <w:wordWrap/>
        <w:overflowPunct/>
        <w:topLinePunct w:val="0"/>
        <w:autoSpaceDE/>
        <w:autoSpaceDN/>
        <w:bidi w:val="0"/>
        <w:spacing w:line="576" w:lineRule="exact"/>
        <w:textAlignment w:val="auto"/>
        <w:rPr>
          <w:rFonts w:hint="eastAsia" w:ascii="黑体" w:hAnsi="黑体" w:eastAsia="黑体"/>
          <w:color w:val="auto"/>
          <w:sz w:val="32"/>
          <w:szCs w:val="32"/>
          <w:lang w:eastAsia="zh-CN"/>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w:t>
      </w:r>
      <w:r>
        <w:rPr>
          <w:rFonts w:hint="eastAsia" w:ascii="黑体" w:hAnsi="黑体" w:eastAsia="黑体"/>
          <w:color w:val="auto"/>
          <w:sz w:val="32"/>
          <w:szCs w:val="32"/>
          <w:lang w:eastAsia="zh-CN"/>
        </w:rPr>
        <w:t>七、</w:t>
      </w:r>
      <w:r>
        <w:rPr>
          <w:rFonts w:ascii="黑体" w:hAnsi="黑体" w:eastAsia="黑体"/>
          <w:color w:val="auto"/>
          <w:sz w:val="32"/>
          <w:szCs w:val="32"/>
        </w:rPr>
        <w:t>其他</w:t>
      </w:r>
      <w:r>
        <w:rPr>
          <w:rFonts w:hint="eastAsia" w:ascii="黑体" w:hAnsi="黑体" w:eastAsia="黑体"/>
          <w:color w:val="auto"/>
          <w:sz w:val="32"/>
          <w:szCs w:val="32"/>
        </w:rPr>
        <w:t>重要</w:t>
      </w:r>
      <w:r>
        <w:rPr>
          <w:rFonts w:ascii="黑体" w:hAnsi="黑体" w:eastAsia="黑体"/>
          <w:color w:val="auto"/>
          <w:sz w:val="32"/>
          <w:szCs w:val="32"/>
        </w:rPr>
        <w:t>事项</w:t>
      </w:r>
      <w:r>
        <w:rPr>
          <w:rFonts w:hint="eastAsia" w:ascii="黑体" w:hAnsi="黑体" w:eastAsia="黑体"/>
          <w:color w:val="auto"/>
          <w:sz w:val="32"/>
          <w:szCs w:val="32"/>
        </w:rPr>
        <w:t>的</w:t>
      </w:r>
      <w:r>
        <w:rPr>
          <w:rFonts w:ascii="黑体" w:hAnsi="黑体" w:eastAsia="黑体"/>
          <w:color w:val="auto"/>
          <w:sz w:val="32"/>
          <w:szCs w:val="32"/>
        </w:rPr>
        <w:t>情况说明</w:t>
      </w:r>
    </w:p>
    <w:p w14:paraId="690097D0">
      <w:pPr>
        <w:keepNext w:val="0"/>
        <w:keepLines w:val="0"/>
        <w:pageBreakBefore w:val="0"/>
        <w:kinsoku/>
        <w:wordWrap/>
        <w:overflowPunct/>
        <w:topLinePunct w:val="0"/>
        <w:autoSpaceDE/>
        <w:autoSpaceDN/>
        <w:bidi w:val="0"/>
        <w:spacing w:line="576" w:lineRule="exact"/>
        <w:ind w:firstLine="640" w:firstLineChars="200"/>
        <w:textAlignment w:val="auto"/>
        <w:rPr>
          <w:rFonts w:ascii="楷体" w:hAnsi="楷体" w:eastAsia="楷体"/>
          <w:color w:val="auto"/>
          <w:sz w:val="32"/>
          <w:szCs w:val="32"/>
        </w:rPr>
      </w:pPr>
      <w:r>
        <w:rPr>
          <w:rFonts w:hint="eastAsia" w:ascii="楷体" w:hAnsi="楷体" w:eastAsia="楷体"/>
          <w:color w:val="auto"/>
          <w:sz w:val="32"/>
          <w:szCs w:val="32"/>
          <w:lang w:eastAsia="zh-CN"/>
        </w:rPr>
        <w:t>（一）</w:t>
      </w:r>
      <w:r>
        <w:rPr>
          <w:rFonts w:hint="eastAsia" w:ascii="楷体" w:hAnsi="楷体" w:eastAsia="楷体"/>
          <w:color w:val="auto"/>
          <w:sz w:val="32"/>
          <w:szCs w:val="32"/>
        </w:rPr>
        <w:t>单位运行</w:t>
      </w:r>
      <w:r>
        <w:rPr>
          <w:rFonts w:ascii="楷体" w:hAnsi="楷体" w:eastAsia="楷体"/>
          <w:color w:val="auto"/>
          <w:sz w:val="32"/>
          <w:szCs w:val="32"/>
        </w:rPr>
        <w:t>经费支出情况说明</w:t>
      </w:r>
    </w:p>
    <w:p w14:paraId="10BAA6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运行收入合计106.96万元，支出明细为：办公费7.25万元；水费为2.61万元；电费为13万元，邮电费8.4万元；物业管理费0.37万元；公务用车运行维护费9.6万元；差旅费3.6万元；工会经费21.96万元；维修（护）费7.65万元；公务接待费0.48万元；委托业务费2.1万元，税金及附加0.014万元；其他商品服务支出0.44万元；其他交通费用0.51万元，办公设备购置1.68万元。2023年公用经费部分用其他工资福利方面或对个人和家庭补助：具体为包干经费、公益性岗位工资以及值班补助等。以上资金与2022年对比，办公费、水费、电费、邮电费、差旅费、工会经费均下降，原因为2023年专项经费用于运转支出增加。2023年新增税金及附加科目，为印花税支出。</w:t>
      </w:r>
    </w:p>
    <w:p w14:paraId="666E05F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 w:hAnsi="楷体" w:eastAsia="楷体"/>
          <w:color w:val="auto"/>
          <w:sz w:val="32"/>
          <w:szCs w:val="32"/>
          <w:lang w:eastAsia="zh-CN"/>
        </w:rPr>
      </w:pPr>
      <w:r>
        <w:rPr>
          <w:rFonts w:hint="eastAsia" w:ascii="楷体" w:hAnsi="楷体" w:eastAsia="楷体"/>
          <w:color w:val="auto"/>
          <w:sz w:val="32"/>
          <w:szCs w:val="32"/>
          <w:lang w:eastAsia="zh-CN"/>
        </w:rPr>
        <w:t>（二）</w:t>
      </w:r>
      <w:r>
        <w:rPr>
          <w:rFonts w:hint="eastAsia" w:ascii="楷体" w:hAnsi="楷体" w:eastAsia="楷体"/>
          <w:color w:val="auto"/>
          <w:sz w:val="32"/>
          <w:szCs w:val="32"/>
        </w:rPr>
        <w:t>国有</w:t>
      </w:r>
      <w:r>
        <w:rPr>
          <w:rFonts w:ascii="楷体" w:hAnsi="楷体" w:eastAsia="楷体"/>
          <w:color w:val="auto"/>
          <w:sz w:val="32"/>
          <w:szCs w:val="32"/>
        </w:rPr>
        <w:t>资产占有使用情况说明</w:t>
      </w:r>
    </w:p>
    <w:p w14:paraId="446451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截至2023年12月31日，林芝市疾病预防控制中心有公务车辆5辆，类型均为其他车辆，其中，2辆为冷链运输车，3辆为日常业务用车。2023年年末资产总计30,670,293.73元相比2022年39813178.3元，相比2022年减少9142884.57元，同比下降22.96%，2023年负债总计1575637.32元相比2022年2539805.26元，下降了964167.94元，同比下降37.96%。资产下降主要原因是2023年修改固定折旧相关内容，从购买日补提了折旧，负债下降主要原因是2022年购买的设备质保金已于2023年付清。</w:t>
      </w:r>
    </w:p>
    <w:p w14:paraId="67320BAC">
      <w:pPr>
        <w:pStyle w:val="4"/>
        <w:ind w:firstLine="640" w:firstLineChars="200"/>
        <w:rPr>
          <w:rFonts w:hint="default"/>
          <w:lang w:val="en-US" w:eastAsia="zh-CN"/>
        </w:rPr>
      </w:pPr>
      <w:r>
        <w:rPr>
          <w:rFonts w:hint="eastAsia" w:ascii="仿宋_GB2312" w:hAnsi="仿宋_GB2312" w:eastAsia="仿宋_GB2312" w:cs="仿宋_GB2312"/>
          <w:sz w:val="32"/>
          <w:szCs w:val="32"/>
        </w:rPr>
        <w:t>2023年末货币资金128.91万元，相较于2022年225.08万元减少96.17万元，降低42.73%，减少的货币资金为银行存款，原因是2023年几笔大额质保金返还给供货商以及将存量资金上缴国库。2023年房屋原值2099.73万元，车辆原值171.44万元，与2022年相比无变化。</w:t>
      </w:r>
    </w:p>
    <w:p w14:paraId="605226F5">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 w:hAnsi="楷体" w:eastAsia="楷体"/>
          <w:color w:val="auto"/>
          <w:sz w:val="32"/>
          <w:szCs w:val="32"/>
        </w:rPr>
      </w:pPr>
      <w:r>
        <w:rPr>
          <w:rFonts w:hint="eastAsia" w:ascii="楷体" w:hAnsi="楷体" w:eastAsia="楷体"/>
          <w:color w:val="auto"/>
          <w:sz w:val="32"/>
          <w:szCs w:val="32"/>
          <w:lang w:eastAsia="zh-CN"/>
        </w:rPr>
        <w:t>（三）重点项目</w:t>
      </w:r>
      <w:r>
        <w:rPr>
          <w:rFonts w:hint="eastAsia" w:ascii="楷体" w:hAnsi="楷体" w:eastAsia="楷体"/>
          <w:color w:val="auto"/>
          <w:sz w:val="32"/>
          <w:szCs w:val="32"/>
        </w:rPr>
        <w:t>预算</w:t>
      </w:r>
      <w:r>
        <w:rPr>
          <w:rFonts w:ascii="楷体" w:hAnsi="楷体" w:eastAsia="楷体"/>
          <w:color w:val="auto"/>
          <w:sz w:val="32"/>
          <w:szCs w:val="32"/>
        </w:rPr>
        <w:t>绩效管理工作开展情况说明</w:t>
      </w:r>
    </w:p>
    <w:p w14:paraId="5FC5F30E">
      <w:pPr>
        <w:snapToGrid w:val="0"/>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财政邀请第三方对我中心2023年2个重点项目（疾控中心疫情防控物资采购、重点传染传染病实验室能力提升项目和重大传染病经费项目）及整体支出进行了绩效评价。2个重点项目评价结果为差，主要问题是预算执行率低，且未对项目后期进行跟踪管理。我中心整体绩效存在2个问题，一是人员超编；二是预算完成率为81.23%，预算完成率偏低；预算调整率为17.96%，预算调整金额为541.52万元，预算调整率偏高。针对以上问题，我中心将明确项目的投资目标，优化资源配置，完善沟通机制，定期分析汇总预算执行情况，及时发现预算执行中的问题，并采取措施加以解决。加强单位财务内控管理，对执行不规范等问题及时采取整改措施，提高预算执行的合规性。准确测算项目预算情况，减少预算调整事项的发生。</w:t>
      </w:r>
    </w:p>
    <w:p w14:paraId="497B4AD3">
      <w:pPr>
        <w:snapToGrid w:val="0"/>
        <w:spacing w:line="520" w:lineRule="exact"/>
        <w:ind w:firstLine="640" w:firstLineChars="200"/>
        <w:rPr>
          <w:rFonts w:hint="default" w:ascii="仿宋" w:hAnsi="仿宋" w:eastAsia="仿宋"/>
          <w:b/>
          <w:bCs/>
          <w:color w:val="FF0000"/>
          <w:sz w:val="32"/>
          <w:szCs w:val="32"/>
          <w:lang w:val="en-US" w:eastAsia="zh-CN"/>
        </w:rPr>
      </w:pPr>
      <w:r>
        <w:rPr>
          <w:rFonts w:hint="eastAsia" w:ascii="仿宋_GB2312" w:hAnsi="仿宋_GB2312" w:eastAsia="仿宋_GB2312" w:cs="仿宋_GB2312"/>
          <w:sz w:val="32"/>
          <w:szCs w:val="32"/>
        </w:rPr>
        <w:t>2023年本单位14个项目均在立项时设立了绩效目标，按照设立的绩效目标，工作指标均完成。在预算一体化系统预算绩效模块，项目运行监控8个项目均在年底完成绩效目标。</w:t>
      </w:r>
    </w:p>
    <w:p w14:paraId="3A94629C">
      <w:pPr>
        <w:keepNext w:val="0"/>
        <w:keepLines w:val="0"/>
        <w:pageBreakBefore w:val="0"/>
        <w:kinsoku/>
        <w:wordWrap/>
        <w:overflowPunct/>
        <w:topLinePunct w:val="0"/>
        <w:autoSpaceDE/>
        <w:autoSpaceDN/>
        <w:bidi w:val="0"/>
        <w:spacing w:line="576" w:lineRule="exact"/>
        <w:ind w:firstLine="648"/>
        <w:textAlignment w:val="auto"/>
        <w:rPr>
          <w:rFonts w:ascii="楷体" w:hAnsi="楷体" w:eastAsia="楷体"/>
          <w:color w:val="auto"/>
          <w:sz w:val="32"/>
          <w:szCs w:val="32"/>
        </w:rPr>
      </w:pPr>
      <w:r>
        <w:rPr>
          <w:rFonts w:hint="eastAsia" w:ascii="楷体" w:hAnsi="楷体" w:eastAsia="楷体"/>
          <w:color w:val="auto"/>
          <w:sz w:val="32"/>
          <w:szCs w:val="32"/>
          <w:lang w:eastAsia="zh-CN"/>
        </w:rPr>
        <w:t>（四）</w:t>
      </w:r>
      <w:r>
        <w:rPr>
          <w:rFonts w:ascii="楷体" w:hAnsi="楷体" w:eastAsia="楷体"/>
          <w:color w:val="auto"/>
          <w:sz w:val="32"/>
          <w:szCs w:val="32"/>
        </w:rPr>
        <w:t>扶贫资金</w:t>
      </w:r>
      <w:r>
        <w:rPr>
          <w:rFonts w:hint="eastAsia" w:ascii="楷体" w:hAnsi="楷体" w:eastAsia="楷体"/>
          <w:color w:val="auto"/>
          <w:sz w:val="32"/>
          <w:szCs w:val="32"/>
        </w:rPr>
        <w:t>分配结果、</w:t>
      </w:r>
      <w:r>
        <w:rPr>
          <w:rFonts w:ascii="楷体" w:hAnsi="楷体" w:eastAsia="楷体"/>
          <w:color w:val="auto"/>
          <w:sz w:val="32"/>
          <w:szCs w:val="32"/>
        </w:rPr>
        <w:t>扶贫项目安排和资金</w:t>
      </w:r>
      <w:r>
        <w:rPr>
          <w:rFonts w:hint="eastAsia" w:ascii="楷体" w:hAnsi="楷体" w:eastAsia="楷体"/>
          <w:color w:val="auto"/>
          <w:sz w:val="32"/>
          <w:szCs w:val="32"/>
        </w:rPr>
        <w:t>使用</w:t>
      </w:r>
      <w:r>
        <w:rPr>
          <w:rFonts w:ascii="楷体" w:hAnsi="楷体" w:eastAsia="楷体"/>
          <w:color w:val="auto"/>
          <w:sz w:val="32"/>
          <w:szCs w:val="32"/>
        </w:rPr>
        <w:t>情况公开情况</w:t>
      </w:r>
      <w:r>
        <w:rPr>
          <w:rFonts w:hint="eastAsia" w:ascii="楷体" w:hAnsi="楷体" w:eastAsia="楷体"/>
          <w:color w:val="auto"/>
          <w:sz w:val="32"/>
          <w:szCs w:val="32"/>
        </w:rPr>
        <w:t>说明</w:t>
      </w:r>
      <w:r>
        <w:rPr>
          <w:rFonts w:ascii="楷体" w:hAnsi="楷体" w:eastAsia="楷体"/>
          <w:color w:val="auto"/>
          <w:sz w:val="32"/>
          <w:szCs w:val="32"/>
        </w:rPr>
        <w:t>。</w:t>
      </w:r>
    </w:p>
    <w:p w14:paraId="74F32137">
      <w:pPr>
        <w:keepNext w:val="0"/>
        <w:keepLines w:val="0"/>
        <w:pageBreakBefore w:val="0"/>
        <w:widowControl w:val="0"/>
        <w:kinsoku/>
        <w:wordWrap/>
        <w:overflowPunct/>
        <w:topLinePunct w:val="0"/>
        <w:autoSpaceDE/>
        <w:autoSpaceDN/>
        <w:bidi w:val="0"/>
        <w:adjustRightInd/>
        <w:snapToGrid/>
        <w:spacing w:line="576" w:lineRule="exact"/>
        <w:ind w:firstLine="648"/>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2023林芝市疾病预防控制中心没有安排扶贫项目资金。</w:t>
      </w:r>
    </w:p>
    <w:p w14:paraId="53AF4E80">
      <w:pPr>
        <w:keepNext w:val="0"/>
        <w:keepLines w:val="0"/>
        <w:pageBreakBefore w:val="0"/>
        <w:widowControl w:val="0"/>
        <w:kinsoku/>
        <w:wordWrap/>
        <w:overflowPunct/>
        <w:topLinePunct w:val="0"/>
        <w:autoSpaceDE/>
        <w:autoSpaceDN/>
        <w:bidi w:val="0"/>
        <w:adjustRightInd/>
        <w:snapToGrid/>
        <w:spacing w:line="576" w:lineRule="exact"/>
        <w:ind w:firstLine="648"/>
        <w:textAlignment w:val="auto"/>
        <w:rPr>
          <w:rFonts w:ascii="楷体" w:hAnsi="楷体" w:eastAsia="楷体"/>
          <w:color w:val="auto"/>
          <w:sz w:val="32"/>
          <w:szCs w:val="32"/>
        </w:rPr>
      </w:pPr>
      <w:r>
        <w:rPr>
          <w:rFonts w:hint="eastAsia" w:ascii="楷体" w:hAnsi="楷体" w:eastAsia="楷体"/>
          <w:color w:val="auto"/>
          <w:sz w:val="32"/>
          <w:szCs w:val="32"/>
          <w:lang w:eastAsia="zh-CN"/>
        </w:rPr>
        <w:t>（五）</w:t>
      </w:r>
      <w:r>
        <w:rPr>
          <w:rFonts w:hint="eastAsia" w:ascii="楷体" w:hAnsi="楷体" w:eastAsia="楷体"/>
          <w:color w:val="auto"/>
          <w:sz w:val="32"/>
          <w:szCs w:val="32"/>
        </w:rPr>
        <w:t>举借债务公开</w:t>
      </w:r>
      <w:r>
        <w:rPr>
          <w:rFonts w:ascii="楷体" w:hAnsi="楷体" w:eastAsia="楷体"/>
          <w:color w:val="auto"/>
          <w:sz w:val="32"/>
          <w:szCs w:val="32"/>
        </w:rPr>
        <w:t>情况</w:t>
      </w:r>
    </w:p>
    <w:p w14:paraId="03DC9D49">
      <w:pPr>
        <w:keepNext w:val="0"/>
        <w:keepLines w:val="0"/>
        <w:pageBreakBefore w:val="0"/>
        <w:widowControl w:val="0"/>
        <w:kinsoku/>
        <w:wordWrap/>
        <w:overflowPunct/>
        <w:topLinePunct w:val="0"/>
        <w:autoSpaceDE/>
        <w:autoSpaceDN/>
        <w:bidi w:val="0"/>
        <w:adjustRightInd/>
        <w:snapToGrid/>
        <w:spacing w:line="576" w:lineRule="exact"/>
        <w:ind w:firstLine="648"/>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2023林芝市疾病预防控制中心没有举借债务。</w:t>
      </w:r>
    </w:p>
    <w:p w14:paraId="6832C01F">
      <w:pPr>
        <w:keepNext w:val="0"/>
        <w:keepLines w:val="0"/>
        <w:pageBreakBefore w:val="0"/>
        <w:widowControl w:val="0"/>
        <w:kinsoku/>
        <w:wordWrap/>
        <w:overflowPunct/>
        <w:topLinePunct w:val="0"/>
        <w:autoSpaceDE/>
        <w:autoSpaceDN/>
        <w:bidi w:val="0"/>
        <w:adjustRightInd/>
        <w:snapToGrid/>
        <w:spacing w:line="576" w:lineRule="exact"/>
        <w:ind w:firstLine="648"/>
        <w:textAlignment w:val="auto"/>
        <w:rPr>
          <w:rFonts w:hint="eastAsia" w:ascii="楷体" w:hAnsi="楷体" w:eastAsia="楷体" w:cs="Times New Roman"/>
          <w:color w:val="auto"/>
          <w:sz w:val="32"/>
          <w:szCs w:val="32"/>
          <w:lang w:val="en-US" w:eastAsia="zh-CN"/>
        </w:rPr>
      </w:pPr>
      <w:r>
        <w:rPr>
          <w:rFonts w:hint="eastAsia" w:ascii="楷体" w:hAnsi="楷体" w:eastAsia="楷体" w:cs="Times New Roman"/>
          <w:color w:val="auto"/>
          <w:sz w:val="32"/>
          <w:szCs w:val="32"/>
          <w:lang w:val="en-US" w:eastAsia="zh-CN"/>
        </w:rPr>
        <w:t>（六）年末结转和结余情况</w:t>
      </w:r>
    </w:p>
    <w:p w14:paraId="67AECCA9">
      <w:pPr>
        <w:keepNext w:val="0"/>
        <w:keepLines w:val="0"/>
        <w:pageBreakBefore w:val="0"/>
        <w:widowControl w:val="0"/>
        <w:kinsoku/>
        <w:wordWrap/>
        <w:overflowPunct/>
        <w:topLinePunct w:val="0"/>
        <w:autoSpaceDE/>
        <w:autoSpaceDN/>
        <w:bidi w:val="0"/>
        <w:adjustRightInd/>
        <w:snapToGrid/>
        <w:spacing w:line="576" w:lineRule="exact"/>
        <w:ind w:firstLine="648"/>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我中心无财政年末结转结余。</w:t>
      </w:r>
    </w:p>
    <w:p w14:paraId="5E68A7AB">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（七）政府采购情况说明</w:t>
      </w:r>
    </w:p>
    <w:p w14:paraId="60ACF8BC">
      <w:pPr>
        <w:keepNext w:val="0"/>
        <w:keepLines w:val="0"/>
        <w:pageBreakBefore w:val="0"/>
        <w:widowControl w:val="0"/>
        <w:kinsoku/>
        <w:wordWrap/>
        <w:overflowPunct/>
        <w:topLinePunct w:val="0"/>
        <w:autoSpaceDE/>
        <w:autoSpaceDN/>
        <w:bidi w:val="0"/>
        <w:adjustRightInd/>
        <w:snapToGrid/>
        <w:spacing w:line="576" w:lineRule="exact"/>
        <w:ind w:firstLine="648"/>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2023年实施政府采购项目0个。</w:t>
      </w:r>
    </w:p>
    <w:p w14:paraId="198148AC">
      <w:pPr>
        <w:pStyle w:val="4"/>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国有资本经营预算财政拨款支出情况说明</w:t>
      </w:r>
    </w:p>
    <w:p w14:paraId="43C21F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2023年我中心无国有资本经营预算财政拨款收支。</w:t>
      </w:r>
    </w:p>
    <w:p w14:paraId="1ECC712B">
      <w:pPr>
        <w:pStyle w:val="4"/>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政府性基金预算财政拨款收入支出情况说明</w:t>
      </w:r>
    </w:p>
    <w:p w14:paraId="2FC1BB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2023年我中心无政府性基金预算财政拨款收入支出。</w:t>
      </w:r>
    </w:p>
    <w:p w14:paraId="2E1B23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（十）决算数据其他需要说明的情况</w:t>
      </w:r>
    </w:p>
    <w:p w14:paraId="642B5CE5">
      <w:pPr>
        <w:ind w:firstLine="640" w:firstLineChars="200"/>
        <w:rPr>
          <w:rFonts w:hint="eastAsia"/>
        </w:rPr>
      </w:pPr>
      <w:r>
        <w:rPr>
          <w:rFonts w:hint="eastAsia" w:ascii="仿宋_GB2312" w:hAnsi="仿宋" w:eastAsia="仿宋_GB2312" w:cs="仿宋"/>
          <w:color w:val="000000"/>
          <w:sz w:val="32"/>
          <w:szCs w:val="32"/>
        </w:rPr>
        <w:t>本单位“项目支出决算明细表”中列支“工资福利支出”和“对个人和家庭的补助”情况</w:t>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rPr>
        <w:t>项目支出列工资福利津补贴、医疗费为新冠疫情防控临时补助及自治区转移支付体检费，项目支出列对个人和家庭的补助为三支一扶工资等。以上资金均为项目经费，但为保障会计账务核算准确性，只能列支工资福利支出和对个人和家庭的补助支出。</w:t>
      </w:r>
    </w:p>
    <w:p w14:paraId="0290B9A1">
      <w:pPr>
        <w:keepNext w:val="0"/>
        <w:keepLines w:val="0"/>
        <w:pageBreakBefore w:val="0"/>
        <w:kinsoku/>
        <w:wordWrap/>
        <w:overflowPunct/>
        <w:topLinePunct w:val="0"/>
        <w:autoSpaceDE/>
        <w:autoSpaceDN/>
        <w:bidi w:val="0"/>
        <w:adjustRightInd w:val="0"/>
        <w:snapToGrid w:val="0"/>
        <w:spacing w:line="576" w:lineRule="exact"/>
        <w:ind w:firstLine="960" w:firstLineChars="300"/>
        <w:textAlignment w:val="auto"/>
        <w:rPr>
          <w:rFonts w:ascii="黑体" w:hAnsi="黑体" w:eastAsia="黑体"/>
          <w:color w:val="auto"/>
          <w:sz w:val="32"/>
          <w:szCs w:val="32"/>
        </w:rPr>
      </w:pPr>
      <w:r>
        <w:rPr>
          <w:rFonts w:hint="eastAsia" w:ascii="黑体" w:hAnsi="黑体" w:eastAsia="黑体"/>
          <w:color w:val="auto"/>
          <w:sz w:val="32"/>
          <w:szCs w:val="32"/>
          <w:lang w:eastAsia="zh-CN"/>
        </w:rPr>
        <w:t>八、</w:t>
      </w: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ascii="黑体" w:hAnsi="黑体" w:eastAsia="黑体"/>
          <w:color w:val="auto"/>
          <w:sz w:val="32"/>
          <w:szCs w:val="32"/>
        </w:rPr>
        <w:t>度部门决算等财务工作开展情况</w:t>
      </w:r>
    </w:p>
    <w:p w14:paraId="089366DC">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会计从业人员资质：本单位会计人员经过专业的上岗培训，具有会计从业资格证书和基本的会计知识的储备。</w:t>
      </w:r>
    </w:p>
    <w:p w14:paraId="219C0965">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预算执行情况：本单位年初合理编制了单位预算，在财务支出方面严格按照预算编制情况进行收支，按时出具财务报表，真实反映单位财务情况和预算执行进度。</w:t>
      </w:r>
    </w:p>
    <w:p w14:paraId="35B922B7">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账簿设置情况：本单位严格按照《中华人民共和国预算法》《中华人民共和国会计法》等法律规章，设置会计账簿和进行日常账务处置，不存在账外现金或者私设小金库现象。</w:t>
      </w:r>
    </w:p>
    <w:p w14:paraId="7F917EA3">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账户设置情况：本单位按照相关要求设置了零余额账户和基本账户，便于预算执行。</w:t>
      </w:r>
    </w:p>
    <w:p w14:paraId="1ABDFEE3">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绩效管理情况：本单位项目均在立项时由项目使用科室提供绩效目标，财务科人员负责录入，在每季度或年底进行绩效评价工作。</w:t>
      </w:r>
    </w:p>
    <w:p w14:paraId="0234DE12">
      <w:pPr>
        <w:spacing w:line="560" w:lineRule="exact"/>
        <w:ind w:firstLine="648"/>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决算组织情况：决算编制、审核人员均为为财务科专业人员，分管领导和主管领导均认真学习了解决算编报工作。财务科工作人员按照《部门决算管理制度》进行决算编报，及时清理往来款项，核对年度预算收支和各项拨款是否准确到位，各项收支按规定要求进行年终结账。根据登记完整、核对无误的账簿记录和其他有关会计核算资料编制决算，做到数据真实正确、内容完整，账证相符、账实相符、账表相符、账账相符。</w:t>
      </w:r>
    </w:p>
    <w:p w14:paraId="19234337">
      <w:pPr>
        <w:spacing w:line="570" w:lineRule="exact"/>
        <w:ind w:firstLine="720" w:firstLineChars="200"/>
        <w:jc w:val="center"/>
        <w:rPr>
          <w:rFonts w:hint="eastAsia" w:ascii="黑体" w:hAnsi="黑体" w:eastAsia="黑体"/>
          <w:color w:val="FF0000"/>
          <w:sz w:val="36"/>
          <w:szCs w:val="32"/>
        </w:rPr>
      </w:pPr>
    </w:p>
    <w:p w14:paraId="0F9632C9">
      <w:pPr>
        <w:spacing w:line="570" w:lineRule="exact"/>
        <w:ind w:firstLine="720" w:firstLineChars="200"/>
        <w:jc w:val="center"/>
        <w:rPr>
          <w:rFonts w:ascii="黑体" w:hAnsi="黑体" w:eastAsia="黑体"/>
          <w:color w:val="auto"/>
          <w:sz w:val="36"/>
          <w:szCs w:val="32"/>
        </w:rPr>
      </w:pPr>
      <w:r>
        <w:rPr>
          <w:rFonts w:hint="eastAsia" w:ascii="黑体" w:hAnsi="黑体" w:eastAsia="黑体"/>
          <w:color w:val="auto"/>
          <w:sz w:val="36"/>
          <w:szCs w:val="32"/>
        </w:rPr>
        <w:t>第四部分</w:t>
      </w:r>
      <w:r>
        <w:rPr>
          <w:rFonts w:hint="eastAsia" w:ascii="黑体" w:hAnsi="黑体" w:eastAsia="黑体"/>
          <w:color w:val="auto"/>
          <w:sz w:val="36"/>
          <w:szCs w:val="32"/>
          <w:lang w:val="en-US" w:eastAsia="zh-CN"/>
        </w:rPr>
        <w:t xml:space="preserve">  </w:t>
      </w:r>
      <w:r>
        <w:rPr>
          <w:rFonts w:hint="eastAsia" w:ascii="黑体" w:hAnsi="黑体" w:eastAsia="黑体"/>
          <w:color w:val="auto"/>
          <w:sz w:val="36"/>
          <w:szCs w:val="32"/>
        </w:rPr>
        <w:t>名词解释</w:t>
      </w:r>
    </w:p>
    <w:p w14:paraId="5F4F496E">
      <w:pPr>
        <w:spacing w:line="570" w:lineRule="exact"/>
        <w:ind w:firstLine="640" w:firstLineChars="200"/>
        <w:jc w:val="center"/>
        <w:rPr>
          <w:rFonts w:hint="eastAsia" w:ascii="仿宋" w:hAnsi="仿宋" w:eastAsia="仿宋"/>
          <w:color w:val="auto"/>
          <w:sz w:val="32"/>
          <w:szCs w:val="32"/>
        </w:rPr>
      </w:pPr>
    </w:p>
    <w:p w14:paraId="201BD59D">
      <w:pPr>
        <w:spacing w:line="570" w:lineRule="exact"/>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b/>
          <w:color w:val="auto"/>
          <w:sz w:val="32"/>
          <w:szCs w:val="32"/>
        </w:rPr>
        <w:t>一、财政拨款收入：</w:t>
      </w:r>
      <w:r>
        <w:rPr>
          <w:rFonts w:hint="eastAsia" w:ascii="仿宋_GB2312" w:hAnsi="仿宋_GB2312" w:eastAsia="仿宋_GB2312" w:cs="仿宋_GB2312"/>
          <w:color w:val="auto"/>
          <w:kern w:val="2"/>
          <w:sz w:val="32"/>
          <w:szCs w:val="32"/>
          <w:lang w:val="en-US" w:eastAsia="zh-CN" w:bidi="ar-SA"/>
        </w:rPr>
        <w:t>指中央财政当年拨付的资金。</w:t>
      </w:r>
    </w:p>
    <w:p w14:paraId="110DACC7">
      <w:pPr>
        <w:spacing w:line="570" w:lineRule="exact"/>
        <w:rPr>
          <w:rFonts w:hint="eastAsia" w:ascii="仿宋" w:hAnsi="仿宋" w:eastAsia="仿宋"/>
          <w:color w:val="auto"/>
          <w:sz w:val="32"/>
          <w:szCs w:val="32"/>
        </w:rPr>
      </w:pPr>
      <w:r>
        <w:rPr>
          <w:rFonts w:hint="eastAsia" w:ascii="仿宋" w:hAnsi="仿宋" w:eastAsia="仿宋"/>
          <w:b/>
          <w:color w:val="auto"/>
          <w:sz w:val="32"/>
          <w:szCs w:val="32"/>
        </w:rPr>
        <w:t>二、其他收入：</w:t>
      </w:r>
      <w:r>
        <w:rPr>
          <w:rFonts w:hint="eastAsia" w:ascii="仿宋_GB2312" w:hAnsi="仿宋_GB2312" w:eastAsia="仿宋_GB2312" w:cs="仿宋_GB2312"/>
          <w:color w:val="auto"/>
          <w:kern w:val="2"/>
          <w:sz w:val="32"/>
          <w:szCs w:val="32"/>
          <w:lang w:val="en-US" w:eastAsia="zh-CN" w:bidi="ar-SA"/>
        </w:rPr>
        <w:t>指上述“一般公共预算拨款收入”以外的收入。主要是按规定动用的售房收入、存款利息收入等。</w:t>
      </w:r>
    </w:p>
    <w:p w14:paraId="624604C8">
      <w:pPr>
        <w:spacing w:line="570" w:lineRule="exact"/>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b/>
          <w:color w:val="auto"/>
          <w:sz w:val="32"/>
          <w:szCs w:val="32"/>
        </w:rPr>
        <w:t>三、上年结转：</w:t>
      </w:r>
      <w:r>
        <w:rPr>
          <w:rFonts w:hint="eastAsia" w:ascii="仿宋_GB2312" w:hAnsi="仿宋_GB2312" w:eastAsia="仿宋_GB2312" w:cs="仿宋_GB2312"/>
          <w:color w:val="auto"/>
          <w:kern w:val="2"/>
          <w:sz w:val="32"/>
          <w:szCs w:val="32"/>
          <w:lang w:val="en-US" w:eastAsia="zh-CN" w:bidi="ar-SA"/>
        </w:rPr>
        <w:t>指以前年度尚未完成、结转到本年度仍按原规定用途继续使用的资金。</w:t>
      </w:r>
    </w:p>
    <w:p w14:paraId="18A11CCD">
      <w:pPr>
        <w:spacing w:line="570" w:lineRule="exact"/>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b/>
          <w:color w:val="auto"/>
          <w:sz w:val="32"/>
          <w:szCs w:val="32"/>
        </w:rPr>
        <w:t>四</w:t>
      </w:r>
      <w:r>
        <w:rPr>
          <w:rFonts w:ascii="仿宋" w:hAnsi="仿宋" w:eastAsia="仿宋"/>
          <w:b/>
          <w:color w:val="auto"/>
          <w:sz w:val="32"/>
          <w:szCs w:val="32"/>
        </w:rPr>
        <w:t>、基本支出：</w:t>
      </w:r>
      <w:r>
        <w:rPr>
          <w:rFonts w:hint="eastAsia" w:ascii="仿宋_GB2312" w:hAnsi="仿宋_GB2312" w:eastAsia="仿宋_GB2312" w:cs="仿宋_GB2312"/>
          <w:color w:val="auto"/>
          <w:kern w:val="2"/>
          <w:sz w:val="32"/>
          <w:szCs w:val="32"/>
          <w:lang w:val="en-US" w:eastAsia="zh-CN" w:bidi="ar-SA"/>
        </w:rPr>
        <w:t>指为保障机构正常运转，完成日常工作任务而发生的人员支出和公用支出。</w:t>
      </w:r>
    </w:p>
    <w:p w14:paraId="4E4480F5">
      <w:pPr>
        <w:spacing w:line="570" w:lineRule="exact"/>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b/>
          <w:color w:val="auto"/>
          <w:sz w:val="32"/>
          <w:szCs w:val="32"/>
        </w:rPr>
        <w:t>五</w:t>
      </w:r>
      <w:r>
        <w:rPr>
          <w:rFonts w:ascii="仿宋" w:hAnsi="仿宋" w:eastAsia="仿宋"/>
          <w:b/>
          <w:color w:val="auto"/>
          <w:sz w:val="32"/>
          <w:szCs w:val="32"/>
        </w:rPr>
        <w:t>、</w:t>
      </w:r>
      <w:r>
        <w:rPr>
          <w:rFonts w:hint="eastAsia" w:ascii="仿宋" w:hAnsi="仿宋" w:eastAsia="仿宋"/>
          <w:b/>
          <w:color w:val="auto"/>
          <w:sz w:val="32"/>
          <w:szCs w:val="32"/>
        </w:rPr>
        <w:t>项目</w:t>
      </w:r>
      <w:r>
        <w:rPr>
          <w:rFonts w:ascii="仿宋" w:hAnsi="仿宋" w:eastAsia="仿宋"/>
          <w:b/>
          <w:color w:val="auto"/>
          <w:sz w:val="32"/>
          <w:szCs w:val="32"/>
        </w:rPr>
        <w:t>支出：</w:t>
      </w:r>
      <w:r>
        <w:rPr>
          <w:rFonts w:hint="eastAsia" w:ascii="仿宋_GB2312" w:hAnsi="仿宋_GB2312" w:eastAsia="仿宋_GB2312" w:cs="仿宋_GB2312"/>
          <w:color w:val="auto"/>
          <w:kern w:val="2"/>
          <w:sz w:val="32"/>
          <w:szCs w:val="32"/>
          <w:lang w:val="en-US" w:eastAsia="zh-CN" w:bidi="ar-SA"/>
        </w:rPr>
        <w:t>指在基本支出之外为完成特定行政任务和事业发展目标所发生的支出。</w:t>
      </w:r>
    </w:p>
    <w:p w14:paraId="62C93C44">
      <w:pPr>
        <w:pStyle w:val="4"/>
        <w:rPr>
          <w:rFonts w:hint="eastAsia" w:ascii="仿宋_GB2312" w:hAnsi="仿宋_GB2312" w:eastAsia="仿宋_GB2312" w:cs="仿宋_GB2312"/>
          <w:color w:val="auto"/>
          <w:kern w:val="2"/>
          <w:sz w:val="32"/>
          <w:szCs w:val="32"/>
          <w:lang w:val="en-US" w:eastAsia="zh-CN" w:bidi="ar-SA"/>
        </w:rPr>
      </w:pPr>
    </w:p>
    <w:p w14:paraId="5D7CDCCE">
      <w:pPr>
        <w:rPr>
          <w:rFonts w:hint="eastAsia" w:ascii="仿宋_GB2312" w:hAnsi="仿宋_GB2312" w:eastAsia="仿宋_GB2312" w:cs="仿宋_GB2312"/>
          <w:color w:val="auto"/>
          <w:kern w:val="2"/>
          <w:sz w:val="32"/>
          <w:szCs w:val="32"/>
          <w:lang w:val="en-US" w:eastAsia="zh-CN" w:bidi="ar-SA"/>
        </w:rPr>
      </w:pPr>
    </w:p>
    <w:p w14:paraId="3E6B047E">
      <w:pPr>
        <w:pStyle w:val="2"/>
        <w:rPr>
          <w:rFonts w:hint="eastAsia" w:ascii="仿宋_GB2312" w:hAnsi="仿宋_GB2312" w:eastAsia="仿宋_GB2312" w:cs="仿宋_GB2312"/>
          <w:color w:val="auto"/>
          <w:kern w:val="2"/>
          <w:sz w:val="32"/>
          <w:szCs w:val="32"/>
          <w:lang w:val="en-US" w:eastAsia="zh-CN" w:bidi="ar-SA"/>
        </w:rPr>
      </w:pPr>
    </w:p>
    <w:p w14:paraId="3FB3976D">
      <w:pPr>
        <w:pStyle w:val="2"/>
        <w:rPr>
          <w:rFonts w:hint="eastAsia" w:ascii="仿宋_GB2312" w:hAnsi="仿宋_GB2312" w:eastAsia="仿宋_GB2312" w:cs="仿宋_GB2312"/>
          <w:color w:val="auto"/>
          <w:kern w:val="2"/>
          <w:sz w:val="32"/>
          <w:szCs w:val="32"/>
          <w:lang w:val="en-US" w:eastAsia="zh-CN" w:bidi="ar-SA"/>
        </w:rPr>
      </w:pPr>
    </w:p>
    <w:p w14:paraId="15747DD0">
      <w:pPr>
        <w:pStyle w:val="2"/>
        <w:rPr>
          <w:rFonts w:hint="eastAsia" w:ascii="仿宋_GB2312" w:hAnsi="仿宋_GB2312" w:eastAsia="仿宋_GB2312" w:cs="仿宋_GB2312"/>
          <w:color w:val="auto"/>
          <w:kern w:val="2"/>
          <w:sz w:val="32"/>
          <w:szCs w:val="32"/>
          <w:lang w:val="en-US" w:eastAsia="zh-CN" w:bidi="ar-SA"/>
        </w:rPr>
      </w:pPr>
    </w:p>
    <w:p w14:paraId="5C606DD9">
      <w:pPr>
        <w:pStyle w:val="2"/>
        <w:rPr>
          <w:rFonts w:hint="eastAsia" w:ascii="仿宋_GB2312" w:hAnsi="仿宋_GB2312" w:eastAsia="仿宋_GB2312" w:cs="仿宋_GB2312"/>
          <w:color w:val="auto"/>
          <w:kern w:val="2"/>
          <w:sz w:val="32"/>
          <w:szCs w:val="32"/>
          <w:lang w:val="en-US" w:eastAsia="zh-CN" w:bidi="ar-SA"/>
        </w:rPr>
      </w:pPr>
    </w:p>
    <w:p w14:paraId="3C2C3145">
      <w:pPr>
        <w:pStyle w:val="2"/>
        <w:rPr>
          <w:rFonts w:hint="eastAsia" w:ascii="仿宋_GB2312" w:hAnsi="仿宋_GB2312" w:eastAsia="仿宋_GB2312" w:cs="仿宋_GB2312"/>
          <w:color w:val="auto"/>
          <w:kern w:val="2"/>
          <w:sz w:val="32"/>
          <w:szCs w:val="32"/>
          <w:lang w:val="en-US" w:eastAsia="zh-CN" w:bidi="ar-SA"/>
        </w:rPr>
      </w:pPr>
    </w:p>
    <w:p w14:paraId="370DE6AB">
      <w:pPr>
        <w:pStyle w:val="2"/>
        <w:rPr>
          <w:rFonts w:hint="eastAsia" w:ascii="仿宋_GB2312" w:hAnsi="仿宋_GB2312" w:eastAsia="仿宋_GB2312" w:cs="仿宋_GB2312"/>
          <w:color w:val="auto"/>
          <w:kern w:val="2"/>
          <w:sz w:val="32"/>
          <w:szCs w:val="32"/>
          <w:lang w:val="en-US" w:eastAsia="zh-CN" w:bidi="ar-SA"/>
        </w:rPr>
      </w:pPr>
    </w:p>
    <w:p w14:paraId="34FD0BDD">
      <w:pPr>
        <w:pStyle w:val="2"/>
        <w:rPr>
          <w:rFonts w:hint="eastAsia" w:ascii="仿宋_GB2312" w:hAnsi="仿宋_GB2312" w:eastAsia="仿宋_GB2312" w:cs="仿宋_GB2312"/>
          <w:color w:val="auto"/>
          <w:kern w:val="2"/>
          <w:sz w:val="32"/>
          <w:szCs w:val="32"/>
          <w:lang w:val="en-US" w:eastAsia="zh-CN" w:bidi="ar-SA"/>
        </w:rPr>
      </w:pPr>
    </w:p>
    <w:p w14:paraId="2EFAFEAE">
      <w:pPr>
        <w:pStyle w:val="2"/>
        <w:rPr>
          <w:rFonts w:hint="eastAsia" w:ascii="仿宋_GB2312" w:hAnsi="仿宋_GB2312" w:eastAsia="仿宋_GB2312" w:cs="仿宋_GB2312"/>
          <w:color w:val="auto"/>
          <w:kern w:val="2"/>
          <w:sz w:val="32"/>
          <w:szCs w:val="32"/>
          <w:lang w:val="en-US" w:eastAsia="zh-CN" w:bidi="ar-SA"/>
        </w:rPr>
      </w:pPr>
    </w:p>
    <w:p w14:paraId="38209CC0">
      <w:pPr>
        <w:jc w:val="center"/>
        <w:rPr>
          <w:rFonts w:hint="eastAsia" w:ascii="黑体" w:hAnsi="黑体" w:eastAsia="黑体" w:cs="黑体"/>
          <w:b/>
          <w:bCs/>
          <w:color w:val="333333"/>
          <w:sz w:val="44"/>
          <w:szCs w:val="44"/>
        </w:rPr>
      </w:pPr>
      <w:r>
        <w:rPr>
          <w:rFonts w:hint="eastAsia" w:ascii="黑体" w:hAnsi="黑体" w:eastAsia="黑体" w:cs="黑体"/>
          <w:b/>
          <w:bCs/>
          <w:color w:val="333333"/>
          <w:sz w:val="44"/>
          <w:szCs w:val="44"/>
        </w:rPr>
        <w:t>林芝市妇幼保健院</w:t>
      </w:r>
    </w:p>
    <w:p w14:paraId="6E400149">
      <w:pPr>
        <w:pStyle w:val="12"/>
        <w:keepNext w:val="0"/>
        <w:keepLines w:val="0"/>
        <w:pageBreakBefore w:val="0"/>
        <w:widowControl/>
        <w:kinsoku/>
        <w:wordWrap/>
        <w:overflowPunct/>
        <w:topLinePunct w:val="0"/>
        <w:autoSpaceDE/>
        <w:autoSpaceDN/>
        <w:bidi w:val="0"/>
        <w:adjustRightInd/>
        <w:spacing w:before="0" w:beforeAutospacing="0" w:after="0" w:afterAutospacing="0" w:line="500" w:lineRule="atLeast"/>
        <w:jc w:val="center"/>
        <w:textAlignment w:val="auto"/>
        <w:rPr>
          <w:rFonts w:hint="eastAsia" w:ascii="楷体_GB2312" w:hAnsi="楷体_GB2312" w:eastAsia="楷体_GB2312" w:cs="楷体_GB2312"/>
          <w:color w:val="333333"/>
          <w:sz w:val="32"/>
          <w:szCs w:val="32"/>
        </w:rPr>
      </w:pPr>
      <w:r>
        <w:rPr>
          <w:rFonts w:hint="eastAsia" w:ascii="楷体_GB2312" w:hAnsi="楷体_GB2312" w:eastAsia="楷体_GB2312" w:cs="楷体_GB2312"/>
          <w:b/>
          <w:bCs/>
          <w:color w:val="333333"/>
          <w:sz w:val="32"/>
          <w:szCs w:val="32"/>
        </w:rPr>
        <w:t>目  录</w:t>
      </w:r>
    </w:p>
    <w:p w14:paraId="7775625F">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atLeast"/>
        <w:textAlignment w:val="auto"/>
        <w:rPr>
          <w:rFonts w:hint="eastAsia" w:ascii="楷体_GB2312" w:hAnsi="楷体_GB2312" w:eastAsia="楷体_GB2312" w:cs="楷体_GB2312"/>
          <w:b/>
          <w:bCs/>
          <w:color w:val="333333"/>
          <w:sz w:val="32"/>
          <w:szCs w:val="32"/>
        </w:rPr>
      </w:pPr>
    </w:p>
    <w:p w14:paraId="76BE9A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第一部分  林芝市妇幼保健院概况</w:t>
      </w:r>
    </w:p>
    <w:p w14:paraId="0A7A1A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一、主要职能</w:t>
      </w:r>
    </w:p>
    <w:p w14:paraId="66BE1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二、部门单位构成</w:t>
      </w:r>
    </w:p>
    <w:p w14:paraId="1DC8FD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第二部分  林芝市妇幼保健院202</w:t>
      </w:r>
      <w:r>
        <w:rPr>
          <w:rFonts w:hint="eastAsia" w:ascii="黑体" w:hAnsi="黑体" w:eastAsia="黑体" w:cs="黑体"/>
          <w:b/>
          <w:bCs/>
          <w:color w:val="000000"/>
          <w:sz w:val="32"/>
          <w:szCs w:val="32"/>
          <w:lang w:val="en-US" w:eastAsia="zh-CN"/>
        </w:rPr>
        <w:t>3</w:t>
      </w:r>
      <w:r>
        <w:rPr>
          <w:rFonts w:hint="eastAsia" w:ascii="黑体" w:hAnsi="黑体" w:eastAsia="黑体" w:cs="黑体"/>
          <w:b/>
          <w:bCs/>
          <w:color w:val="000000"/>
          <w:sz w:val="32"/>
          <w:szCs w:val="32"/>
        </w:rPr>
        <w:t>年度决算公开明细表</w:t>
      </w:r>
    </w:p>
    <w:p w14:paraId="4AC2E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一、收入支出决算总表</w:t>
      </w:r>
    </w:p>
    <w:p w14:paraId="19746B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二、财政拨款收入支出决算总表</w:t>
      </w:r>
    </w:p>
    <w:p w14:paraId="2BF32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三、收入支出决算表</w:t>
      </w:r>
    </w:p>
    <w:p w14:paraId="7EB98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四、收入决算表</w:t>
      </w:r>
    </w:p>
    <w:p w14:paraId="42A7DF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五、支出决算表</w:t>
      </w:r>
    </w:p>
    <w:p w14:paraId="6A592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六、支出决算明细表</w:t>
      </w:r>
    </w:p>
    <w:p w14:paraId="4532F8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七、基本支出决算明细表</w:t>
      </w:r>
    </w:p>
    <w:p w14:paraId="45A47D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八、项目支出决算明细表</w:t>
      </w:r>
    </w:p>
    <w:p w14:paraId="74707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九、经营支出决算明细表</w:t>
      </w:r>
    </w:p>
    <w:p w14:paraId="5D769E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十、项目支出分项目收入支出决算表</w:t>
      </w:r>
    </w:p>
    <w:p w14:paraId="7D0E90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十一、一般公共预算财政拨款收入支出决算表</w:t>
      </w:r>
    </w:p>
    <w:p w14:paraId="0F89B7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十二、一般公共预算财政拨款支出决算明细表</w:t>
      </w:r>
    </w:p>
    <w:p w14:paraId="18601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十三、一般公共预算财政拨款基本支出决算明细表</w:t>
      </w:r>
    </w:p>
    <w:p w14:paraId="5FFF2F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十四、一般公共预算财政拨款项目支出决算明细表</w:t>
      </w:r>
    </w:p>
    <w:p w14:paraId="4340A0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十五、政府性基金预算财政拨款收入支出决算表</w:t>
      </w:r>
    </w:p>
    <w:p w14:paraId="494BB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十六、政府性基金预算财政拨款支出决算明细表</w:t>
      </w:r>
    </w:p>
    <w:p w14:paraId="24A851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十七、政府性基金预算财政拨款基本支出决算明细表</w:t>
      </w:r>
    </w:p>
    <w:p w14:paraId="18DEE8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十八、政府性基金预算财政拨款项目支出决算明细表</w:t>
      </w:r>
    </w:p>
    <w:p w14:paraId="45EA4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十九、国有资本经营预算财政拨款收入支出决算表</w:t>
      </w:r>
    </w:p>
    <w:p w14:paraId="700FC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二十、国有资本经营预算财政拨款支出决算明细表</w:t>
      </w:r>
    </w:p>
    <w:p w14:paraId="37515D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二十一、预算支出相关信息表</w:t>
      </w:r>
    </w:p>
    <w:p w14:paraId="3B3F15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二十二、基本数字表</w:t>
      </w:r>
    </w:p>
    <w:p w14:paraId="2AC6E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二十三、机构运行信息表</w:t>
      </w:r>
    </w:p>
    <w:p w14:paraId="0F00C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二十四、非税收入征缴情况表</w:t>
      </w:r>
    </w:p>
    <w:p w14:paraId="5B002A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二十五、基本支出分项目收入支出情况表</w:t>
      </w:r>
    </w:p>
    <w:p w14:paraId="3AC527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第三部分 林芝市妇幼保健院202</w:t>
      </w:r>
      <w:r>
        <w:rPr>
          <w:rFonts w:hint="eastAsia" w:ascii="黑体" w:hAnsi="黑体" w:eastAsia="黑体" w:cs="黑体"/>
          <w:b/>
          <w:bCs/>
          <w:color w:val="000000"/>
          <w:sz w:val="32"/>
          <w:szCs w:val="32"/>
          <w:lang w:val="en-US" w:eastAsia="zh-CN"/>
        </w:rPr>
        <w:t>3</w:t>
      </w:r>
      <w:r>
        <w:rPr>
          <w:rFonts w:hint="eastAsia" w:ascii="黑体" w:hAnsi="黑体" w:eastAsia="黑体" w:cs="黑体"/>
          <w:b/>
          <w:bCs/>
          <w:color w:val="000000"/>
          <w:sz w:val="32"/>
          <w:szCs w:val="32"/>
        </w:rPr>
        <w:t>年度部门决算情况说明</w:t>
      </w:r>
    </w:p>
    <w:p w14:paraId="7FE9A2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14:paraId="2E67A114">
      <w:pPr>
        <w:pStyle w:val="12"/>
        <w:spacing w:before="0" w:beforeAutospacing="0" w:after="0" w:afterAutospacing="0" w:line="460" w:lineRule="atLeast"/>
        <w:jc w:val="center"/>
        <w:rPr>
          <w:rFonts w:hint="eastAsia" w:ascii="黑体" w:hAnsi="黑体" w:eastAsia="黑体" w:cs="黑体"/>
          <w:color w:val="333333"/>
          <w:sz w:val="44"/>
          <w:szCs w:val="44"/>
        </w:rPr>
      </w:pPr>
    </w:p>
    <w:p w14:paraId="3450AC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6" w:firstLineChars="500"/>
        <w:jc w:val="both"/>
        <w:textAlignment w:val="auto"/>
        <w:rPr>
          <w:rFonts w:hint="eastAsia" w:ascii="楷体_GB2312" w:hAnsi="楷体_GB2312" w:eastAsia="楷体_GB2312" w:cs="楷体_GB2312"/>
          <w:color w:val="333333"/>
          <w:sz w:val="32"/>
          <w:szCs w:val="32"/>
        </w:rPr>
      </w:pPr>
      <w:r>
        <w:rPr>
          <w:rFonts w:hint="eastAsia" w:ascii="方正小标宋简体" w:hAnsi="方正小标宋简体" w:eastAsia="方正小标宋简体" w:cs="方正小标宋简体"/>
          <w:b/>
          <w:bCs/>
          <w:color w:val="000000"/>
          <w:sz w:val="32"/>
          <w:szCs w:val="32"/>
        </w:rPr>
        <w:t>第一部分 林芝市妇幼保健院概况</w:t>
      </w:r>
      <w:r>
        <w:rPr>
          <w:rFonts w:hint="eastAsia" w:ascii="楷体_GB2312" w:hAnsi="楷体_GB2312" w:eastAsia="楷体_GB2312" w:cs="楷体_GB2312"/>
          <w:color w:val="333333"/>
          <w:sz w:val="32"/>
          <w:szCs w:val="32"/>
        </w:rPr>
        <w:t> </w:t>
      </w:r>
    </w:p>
    <w:p w14:paraId="2BCC6D6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妇幼保健院挂牌成立于1990年1月，正科级建制，隶属于林芝市卫生健康生育委员会，是一所集医疗、保健一体的二级甲等医院，为全额预算拨款事业单位。下设有儿科、妇产科、保健科、医务科、检验科、超声科、药械科、规划免疫室等。</w:t>
      </w:r>
    </w:p>
    <w:p w14:paraId="5D0A1FFB">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一、单位情况</w:t>
      </w:r>
    </w:p>
    <w:p w14:paraId="10D2E17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（一）基本情况</w:t>
      </w:r>
    </w:p>
    <w:p w14:paraId="138EA4E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职能：（1）以提高本市妇女、儿童群体的健康水平和人口质量为目标，以孕产保健、妇女保健、儿童保健、优生优育为中心任务，肩负着本市妇女、儿童健康规划的实施与监测任务。（2）提供全面的、系统、连续的妇女儿童全面、全生命周期医疗保健服务，承担辖区的危重孕产妇、危重新生儿救治任务并执行双向转诊制度。（3）掌握本市妇女儿童的健康状况、健康问题、主要疾病、孕产妇和婴儿死亡情况及主要死因，协助卫生行政部门制定妇幼卫生发展规划以及防治计划并牵头实施。（4）负责本市妇幼卫生、计划生育、优生优育方面的健康教育和健康教育材料的制作、基层人员培训工作等等。</w:t>
      </w:r>
    </w:p>
    <w:p w14:paraId="571817E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2、机构情况：我单位为正科级建制，隶属于林芝市卫健委，是一所集医疗、保健一体的二级甲等妇幼保健机构，为全额预算拨款事业单位。</w:t>
      </w:r>
    </w:p>
    <w:p w14:paraId="1A3C09A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3、人员情况：我院人员编制为34人。年末实际在职职工有60人；公益性岗位9人；临时工人12人；三支一扶人员2人；年末实有人数共计83人。</w:t>
      </w:r>
    </w:p>
    <w:p w14:paraId="254DA6E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说明：年末实际正式在职职工有60人，超编26人。 </w:t>
      </w:r>
    </w:p>
    <w:p w14:paraId="2C29DB5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小标宋简体" w:hAnsi="方正小标宋简体" w:eastAsia="方正小标宋简体" w:cs="方正小标宋简体"/>
          <w:b/>
          <w:bCs/>
          <w:color w:val="000000"/>
          <w:sz w:val="32"/>
          <w:szCs w:val="32"/>
        </w:rPr>
      </w:pPr>
      <w:r>
        <w:rPr>
          <w:rFonts w:hint="eastAsia" w:ascii="仿宋_GB2312" w:hAnsi="仿宋_GB2312" w:eastAsia="仿宋_GB2312" w:cs="仿宋_GB2312"/>
          <w:sz w:val="32"/>
          <w:szCs w:val="32"/>
          <w:lang w:val="en-US" w:eastAsia="zh-CN"/>
        </w:rPr>
        <w:t> </w:t>
      </w:r>
    </w:p>
    <w:p w14:paraId="42780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lang w:eastAsia="zh-CN"/>
        </w:rPr>
        <w:t>第二部分</w:t>
      </w:r>
      <w:r>
        <w:rPr>
          <w:rFonts w:hint="eastAsia" w:ascii="方正小标宋简体" w:hAnsi="方正小标宋简体" w:eastAsia="方正小标宋简体" w:cs="方正小标宋简体"/>
          <w:b/>
          <w:bCs/>
          <w:color w:val="000000"/>
          <w:sz w:val="32"/>
          <w:szCs w:val="32"/>
          <w:lang w:val="en-US" w:eastAsia="zh-CN"/>
        </w:rPr>
        <w:t xml:space="preserve">  </w:t>
      </w:r>
      <w:r>
        <w:rPr>
          <w:rFonts w:hint="eastAsia" w:ascii="方正小标宋简体" w:hAnsi="方正小标宋简体" w:eastAsia="方正小标宋简体" w:cs="方正小标宋简体"/>
          <w:b/>
          <w:bCs/>
          <w:color w:val="000000"/>
          <w:sz w:val="32"/>
          <w:szCs w:val="32"/>
        </w:rPr>
        <w:t>林芝市妇幼保健院202</w:t>
      </w:r>
      <w:r>
        <w:rPr>
          <w:rFonts w:hint="eastAsia" w:ascii="方正小标宋简体" w:hAnsi="方正小标宋简体" w:eastAsia="方正小标宋简体" w:cs="方正小标宋简体"/>
          <w:b/>
          <w:bCs/>
          <w:color w:val="000000"/>
          <w:sz w:val="32"/>
          <w:szCs w:val="32"/>
          <w:lang w:val="en-US" w:eastAsia="zh-CN"/>
        </w:rPr>
        <w:t>3</w:t>
      </w:r>
      <w:r>
        <w:rPr>
          <w:rFonts w:hint="eastAsia" w:ascii="方正小标宋简体" w:hAnsi="方正小标宋简体" w:eastAsia="方正小标宋简体" w:cs="方正小标宋简体"/>
          <w:b/>
          <w:bCs/>
          <w:color w:val="000000"/>
          <w:sz w:val="32"/>
          <w:szCs w:val="32"/>
        </w:rPr>
        <w:t>年度决算</w:t>
      </w:r>
    </w:p>
    <w:p w14:paraId="35293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center"/>
        <w:textAlignment w:val="auto"/>
        <w:rPr>
          <w:rFonts w:hint="eastAsia" w:ascii="楷体_GB2312" w:hAnsi="楷体_GB2312" w:eastAsia="楷体_GB2312" w:cs="楷体_GB2312"/>
          <w:color w:val="333333"/>
          <w:sz w:val="32"/>
          <w:szCs w:val="32"/>
        </w:rPr>
      </w:pPr>
      <w:r>
        <w:rPr>
          <w:rFonts w:hint="eastAsia" w:ascii="方正小标宋简体" w:hAnsi="方正小标宋简体" w:eastAsia="方正小标宋简体" w:cs="方正小标宋简体"/>
          <w:b/>
          <w:bCs/>
          <w:color w:val="000000"/>
          <w:sz w:val="32"/>
          <w:szCs w:val="32"/>
        </w:rPr>
        <w:t>明细表</w:t>
      </w:r>
      <w:r>
        <w:rPr>
          <w:rFonts w:hint="eastAsia" w:ascii="楷体_GB2312" w:hAnsi="楷体_GB2312" w:eastAsia="楷体_GB2312" w:cs="楷体_GB2312"/>
          <w:b/>
          <w:bCs/>
          <w:color w:val="333333"/>
          <w:sz w:val="32"/>
          <w:szCs w:val="32"/>
        </w:rPr>
        <w:t> </w:t>
      </w:r>
    </w:p>
    <w:p w14:paraId="55C5986E">
      <w:pPr>
        <w:pStyle w:val="12"/>
        <w:spacing w:before="156" w:beforeAutospacing="0" w:after="156" w:afterAutospacing="0"/>
        <w:jc w:val="center"/>
        <w:rPr>
          <w:rFonts w:hint="eastAsia" w:ascii="黑体" w:hAnsi="黑体" w:eastAsia="黑体" w:cs="黑体"/>
          <w:color w:val="333333"/>
          <w:sz w:val="44"/>
          <w:szCs w:val="44"/>
        </w:rPr>
      </w:pPr>
      <w:r>
        <w:rPr>
          <w:rFonts w:hint="eastAsia" w:ascii="楷体_GB2312" w:hAnsi="楷体_GB2312" w:eastAsia="楷体_GB2312" w:cs="楷体_GB2312"/>
          <w:b/>
          <w:bCs/>
          <w:color w:val="333333"/>
          <w:sz w:val="32"/>
          <w:szCs w:val="32"/>
        </w:rPr>
        <w:t>（表格见附件）</w:t>
      </w:r>
    </w:p>
    <w:p w14:paraId="401CB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_GB2312" w:hAnsi="楷体_GB2312" w:eastAsia="楷体_GB2312" w:cs="楷体_GB2312"/>
          <w:color w:val="333333"/>
          <w:sz w:val="32"/>
          <w:szCs w:val="32"/>
        </w:rPr>
      </w:pPr>
      <w:r>
        <w:rPr>
          <w:rFonts w:hint="eastAsia" w:ascii="方正小标宋简体" w:hAnsi="方正小标宋简体" w:eastAsia="方正小标宋简体" w:cs="方正小标宋简体"/>
          <w:b/>
          <w:bCs/>
          <w:color w:val="000000"/>
          <w:sz w:val="32"/>
          <w:szCs w:val="32"/>
          <w:lang w:eastAsia="zh-CN"/>
        </w:rPr>
        <w:t>第三部分</w:t>
      </w:r>
      <w:r>
        <w:rPr>
          <w:rFonts w:hint="eastAsia" w:ascii="方正小标宋简体" w:hAnsi="方正小标宋简体" w:eastAsia="方正小标宋简体" w:cs="方正小标宋简体"/>
          <w:b/>
          <w:bCs/>
          <w:color w:val="000000"/>
          <w:sz w:val="32"/>
          <w:szCs w:val="32"/>
          <w:lang w:val="en-US" w:eastAsia="zh-CN"/>
        </w:rPr>
        <w:t xml:space="preserve"> </w:t>
      </w:r>
      <w:r>
        <w:rPr>
          <w:rFonts w:hint="eastAsia" w:ascii="方正小标宋简体" w:hAnsi="方正小标宋简体" w:eastAsia="方正小标宋简体" w:cs="方正小标宋简体"/>
          <w:b/>
          <w:bCs/>
          <w:color w:val="000000"/>
          <w:sz w:val="32"/>
          <w:szCs w:val="32"/>
          <w:lang w:eastAsia="zh-CN"/>
        </w:rPr>
        <w:t>林芝市妇幼保健院202</w:t>
      </w:r>
      <w:r>
        <w:rPr>
          <w:rFonts w:hint="eastAsia" w:ascii="方正小标宋简体" w:hAnsi="方正小标宋简体" w:eastAsia="方正小标宋简体" w:cs="方正小标宋简体"/>
          <w:b/>
          <w:bCs/>
          <w:color w:val="000000"/>
          <w:sz w:val="32"/>
          <w:szCs w:val="32"/>
          <w:lang w:val="en-US" w:eastAsia="zh-CN"/>
        </w:rPr>
        <w:t>3</w:t>
      </w:r>
      <w:r>
        <w:rPr>
          <w:rFonts w:hint="eastAsia" w:ascii="方正小标宋简体" w:hAnsi="方正小标宋简体" w:eastAsia="方正小标宋简体" w:cs="方正小标宋简体"/>
          <w:b/>
          <w:bCs/>
          <w:color w:val="000000"/>
          <w:sz w:val="32"/>
          <w:szCs w:val="32"/>
          <w:lang w:eastAsia="zh-CN"/>
        </w:rPr>
        <w:t>年度决算情况说明</w:t>
      </w:r>
    </w:p>
    <w:p w14:paraId="4077B944">
      <w:pPr>
        <w:pStyle w:val="12"/>
        <w:spacing w:before="0" w:beforeAutospacing="0" w:after="0" w:afterAutospacing="0"/>
        <w:ind w:firstLine="643" w:firstLineChars="200"/>
        <w:rPr>
          <w:rFonts w:hint="eastAsia" w:ascii="黑体" w:hAnsi="黑体" w:eastAsia="黑体" w:cs="黑体"/>
          <w:color w:val="333333"/>
          <w:sz w:val="32"/>
          <w:szCs w:val="32"/>
        </w:rPr>
      </w:pPr>
      <w:r>
        <w:rPr>
          <w:rFonts w:hint="eastAsia" w:ascii="黑体" w:hAnsi="黑体" w:eastAsia="黑体" w:cs="黑体"/>
          <w:b/>
          <w:bCs/>
          <w:color w:val="333333"/>
          <w:sz w:val="32"/>
          <w:szCs w:val="32"/>
          <w:lang w:val="en-US" w:eastAsia="zh-CN"/>
        </w:rPr>
        <w:t>一</w:t>
      </w:r>
      <w:r>
        <w:rPr>
          <w:rFonts w:hint="eastAsia" w:ascii="黑体" w:hAnsi="黑体" w:eastAsia="黑体" w:cs="黑体"/>
          <w:b/>
          <w:bCs/>
          <w:color w:val="333333"/>
          <w:sz w:val="32"/>
          <w:szCs w:val="32"/>
        </w:rPr>
        <w:t>、收支情况</w:t>
      </w:r>
    </w:p>
    <w:p w14:paraId="14FD4E2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2023年全年收入总额为3226.46 万元，支出为3283.81万元。</w:t>
      </w:r>
    </w:p>
    <w:p w14:paraId="5711980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入概况：财政拨款2349万元,占总收入的73%；事业收入877.46万元，占总收入的27%。比2022年3139.56万元增加86.9万元，同比增长3%。增加原因：2023年度人员经费增加、项目经费较上年度增加明显主要增加了信息化升级、电子票据系统建设项目等。</w:t>
      </w:r>
    </w:p>
    <w:p w14:paraId="290E89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（二）支出概况：全年总支出为3283.81万元，较上一年度增加了489.62元，同比增长18%。其中财政拨款支出2349万元（含项目经费632.65万元）；事业支出934.81元。增长原因：人员及各项专项经费有所增长。</w:t>
      </w:r>
    </w:p>
    <w:p w14:paraId="5155F58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（三）年末结转和结余情况：本年度结余结转资金共计0万元。</w:t>
      </w:r>
    </w:p>
    <w:p w14:paraId="33C90BA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二、2023年度一般公共预算财政收入支出情况说明</w:t>
      </w:r>
    </w:p>
    <w:p w14:paraId="044CC29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（一）2023年度一般公共预算财政收入情况说明</w:t>
      </w:r>
    </w:p>
    <w:p w14:paraId="16FD6AD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2023年度，林芝市妇幼保健院一般公共预算收入总计2349万元，其中：年初预算数1942.17万元，调整预算数为2349万元。</w:t>
      </w:r>
    </w:p>
    <w:p w14:paraId="653F0B2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（二）2023年度一般公共预算财政支出情况说明</w:t>
      </w:r>
    </w:p>
    <w:p w14:paraId="7DE4107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2023年度，林芝市妇幼保健院一般公共预算支出总计2349万元，其中：基本支出1716.35万元，占比73%；项目支出632.65万元，占比27%。</w:t>
      </w:r>
    </w:p>
    <w:p w14:paraId="4C7570CC">
      <w:pPr>
        <w:keepNext w:val="0"/>
        <w:keepLines w:val="0"/>
        <w:pageBreakBefore w:val="0"/>
        <w:numPr>
          <w:ilvl w:val="0"/>
          <w:numId w:val="12"/>
        </w:numPr>
        <w:kinsoku/>
        <w:wordWrap/>
        <w:overflowPunct/>
        <w:topLinePunct w:val="0"/>
        <w:autoSpaceDE/>
        <w:autoSpaceDN/>
        <w:bidi w:val="0"/>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支出决算结构</w:t>
      </w:r>
      <w:r>
        <w:rPr>
          <w:rFonts w:hint="eastAsia" w:ascii="黑体" w:hAnsi="黑体" w:eastAsia="黑体" w:cs="黑体"/>
          <w:b/>
          <w:bCs/>
          <w:color w:val="auto"/>
          <w:sz w:val="32"/>
          <w:szCs w:val="32"/>
          <w:lang w:val="en-US" w:eastAsia="zh-CN"/>
        </w:rPr>
        <w:t>具体</w:t>
      </w:r>
      <w:r>
        <w:rPr>
          <w:rFonts w:hint="eastAsia" w:ascii="黑体" w:hAnsi="黑体" w:eastAsia="黑体" w:cs="黑体"/>
          <w:b/>
          <w:bCs/>
          <w:color w:val="auto"/>
          <w:sz w:val="32"/>
          <w:szCs w:val="32"/>
        </w:rPr>
        <w:t>情况</w:t>
      </w:r>
      <w:r>
        <w:rPr>
          <w:rFonts w:hint="eastAsia" w:ascii="黑体" w:hAnsi="黑体" w:eastAsia="黑体" w:cs="黑体"/>
          <w:b/>
          <w:bCs/>
          <w:color w:val="auto"/>
          <w:sz w:val="32"/>
          <w:szCs w:val="32"/>
          <w:lang w:val="en-US" w:eastAsia="zh-CN"/>
        </w:rPr>
        <w:t>说明</w:t>
      </w:r>
    </w:p>
    <w:p w14:paraId="31FF64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（一）支出决算结构情况</w:t>
      </w:r>
    </w:p>
    <w:p w14:paraId="30C610B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林芝市妇幼保健院2023年度支出为3283.81万元，其中:社会保障和就业支出（类）183.56万元，占6%；卫生健康支出(类)2895.26万元，占88%；住房保障支出（类）204.99万元，占6%。</w:t>
      </w:r>
    </w:p>
    <w:p w14:paraId="01BB30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（二）支出决算具体情况</w:t>
      </w:r>
    </w:p>
    <w:p w14:paraId="30D293D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1.社会保障和就业支出(类)行政事业单位养老支出(款)机关事业单位基本养老保险缴费支出(项)162.21万元; </w:t>
      </w:r>
    </w:p>
    <w:p w14:paraId="4742121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2.社会保障和就业支出(类)财政对其他社会保险基金的补助(款)财政对失业保险基金的补助(项)5.07万元;</w:t>
      </w:r>
    </w:p>
    <w:p w14:paraId="13B5064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3.社会保障和就业支出(类)财政对其他社会保险基金的补助(款)财政对工伤保险基金的补助(项)1.01万元;</w:t>
      </w:r>
    </w:p>
    <w:p w14:paraId="6B8EC4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4.社会保障和就业支出(类)就业补助（款）其他就业补助(项)15.27万元；</w:t>
      </w:r>
    </w:p>
    <w:p w14:paraId="6764B1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5.卫生健康支出(类)公共卫生(款)妇幼保健院机构(项)2704.16万元;</w:t>
      </w:r>
    </w:p>
    <w:p w14:paraId="67FEE6F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6.卫生健康支出(类)公共卫生(款)基本公共卫生服务(项)29.88万元；</w:t>
      </w:r>
    </w:p>
    <w:p w14:paraId="0135999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7.卫生健康支出(类)公共卫生(款)重大公共卫生服务(项)72.37万元；</w:t>
      </w:r>
    </w:p>
    <w:p w14:paraId="1700B04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8.卫生健康支出(类)行政事业单位医疗(款)事业单位医疗支出(项)78.06万元；</w:t>
      </w:r>
    </w:p>
    <w:p w14:paraId="075C30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9.卫生健康支出(类)行政事业单位医疗(款)其他行政事业单位医疗支出(项)10.8万元；</w:t>
      </w:r>
    </w:p>
    <w:p w14:paraId="017F17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10.住房保障支出(类)住房改革支出(款)保障性安居工程支出(项)5.05万元;</w:t>
      </w:r>
    </w:p>
    <w:p w14:paraId="17DE4E0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11.住房保障支出(类)住房改革支出(款)住房公积金(项)120.12万元;</w:t>
      </w:r>
    </w:p>
    <w:p w14:paraId="1C6FCB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12.住房保障支出(类)住房改革支出(款)购房补贴(项)79.82万元;</w:t>
      </w:r>
    </w:p>
    <w:p w14:paraId="5BDD8F71">
      <w:pPr>
        <w:pStyle w:val="3"/>
        <w:widowControl/>
        <w:spacing w:before="0" w:beforeAutospacing="0" w:after="0" w:afterAutospacing="0" w:line="360" w:lineRule="auto"/>
        <w:ind w:right="0" w:firstLine="643" w:firstLineChars="200"/>
        <w:rPr>
          <w:rFonts w:hint="eastAsia" w:ascii="黑体" w:hAnsi="黑体" w:eastAsia="黑体" w:cs="黑体"/>
          <w:b/>
          <w:bCs w:val="0"/>
          <w:sz w:val="32"/>
          <w:szCs w:val="32"/>
          <w:lang w:val="en-US"/>
        </w:rPr>
      </w:pPr>
      <w:r>
        <w:rPr>
          <w:rFonts w:hint="eastAsia" w:ascii="黑体" w:hAnsi="黑体" w:eastAsia="黑体" w:cs="黑体"/>
          <w:b/>
          <w:bCs w:val="0"/>
          <w:color w:val="333333"/>
          <w:kern w:val="0"/>
          <w:sz w:val="32"/>
          <w:szCs w:val="32"/>
          <w:lang w:val="en-US" w:eastAsia="zh-CN"/>
        </w:rPr>
        <w:t>四、2023年度</w:t>
      </w:r>
      <w:r>
        <w:rPr>
          <w:rFonts w:hint="eastAsia" w:ascii="黑体" w:hAnsi="黑体" w:eastAsia="黑体" w:cs="黑体"/>
          <w:b/>
          <w:bCs w:val="0"/>
          <w:sz w:val="32"/>
          <w:szCs w:val="32"/>
          <w:lang w:eastAsia="zh-CN"/>
        </w:rPr>
        <w:t>工作目标完成情况</w:t>
      </w:r>
    </w:p>
    <w:p w14:paraId="7E0EF74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本年度门诊量29016人次，住院患者125人次。接种各类疫苗26643人次，获得西藏自治区三八红旗集体、林芝市实施“十三五妇女儿童发展规划”先进集体等荣誉称号。</w:t>
      </w:r>
    </w:p>
    <w:p w14:paraId="6C01D7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（一）业务工作开展情况</w:t>
      </w:r>
    </w:p>
    <w:p w14:paraId="60A1686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在完成日常业务工作的同时，重点完成以下几项任务：</w:t>
      </w:r>
    </w:p>
    <w:p w14:paraId="3E14DAF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强互联共建，与广东省妇幼保健院达成远程医疗协作网合作协议并于8月29日正式启动，截至目前，已完成40名患者的远程会诊医疗服务。二是依托广东援藏等渠道，通过“双百计划”,先后委派2名专业人员赴广东进修医院管理、儿科等实践课程，最大程度发挥好现有帮扶合作资源。三是加强与“雪域中医课堂”技术援藏合作,通过远程视频培训，使我院医务人员掌握了妇幼健康常见、多发疾病的中医诊断；四是成功举办了“林芝市2023年新生儿窒息复苏技能提升及师资培训班”“林芝市2023年妇幼健康职业技能市级复赛”活动，共81人参加。</w:t>
      </w:r>
    </w:p>
    <w:p w14:paraId="42AEFEE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（二）党建、意识形态与党风廉政建设工作开展情况</w:t>
      </w:r>
    </w:p>
    <w:p w14:paraId="666BDDF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是以习近平新时代中国特色社会主义思想为指导，党支部每周组织开展政治理论学习，抓好集中学习，提升参学人数。截止目前，共组织开展党员集中学习16次，院支部书记讲党课2次，学习研讨1次。二是开展主题为“医心向党，护航健康”的庆祝建党102周年系列庆祝活动：在八一镇尼西村开展义诊活动，免费发放价值约8000元的药品；为尼西村2名困难党员送去了每人500元的慰问金；三是完成二届市委第四轮巡察反馈问题整改工作；四是开展医院党支部书记廉政提醒谈话活动，对23名负责同志及13名关键岗位工作人员进行廉政提醒谈话。</w:t>
      </w:r>
    </w:p>
    <w:p w14:paraId="730057BF">
      <w:pPr>
        <w:pStyle w:val="13"/>
        <w:spacing w:before="0" w:beforeAutospacing="0" w:after="0" w:afterAutospacing="0"/>
        <w:ind w:firstLine="643" w:firstLineChars="200"/>
        <w:jc w:val="both"/>
        <w:rPr>
          <w:rFonts w:hint="eastAsia" w:ascii="黑体" w:hAnsi="黑体" w:eastAsia="黑体" w:cs="黑体"/>
          <w:color w:val="auto"/>
          <w:sz w:val="32"/>
          <w:szCs w:val="32"/>
        </w:rPr>
      </w:pPr>
      <w:r>
        <w:rPr>
          <w:rFonts w:hint="eastAsia" w:ascii="黑体" w:hAnsi="黑体" w:eastAsia="黑体" w:cs="黑体"/>
          <w:b/>
          <w:bCs/>
          <w:color w:val="333333"/>
          <w:sz w:val="32"/>
          <w:szCs w:val="32"/>
          <w:lang w:val="en-US" w:eastAsia="zh-CN"/>
        </w:rPr>
        <w:t>五</w:t>
      </w:r>
      <w:r>
        <w:rPr>
          <w:rFonts w:hint="eastAsia" w:ascii="黑体" w:hAnsi="黑体" w:eastAsia="黑体" w:cs="黑体"/>
          <w:b/>
          <w:bCs/>
          <w:color w:val="333333"/>
          <w:sz w:val="32"/>
          <w:szCs w:val="32"/>
        </w:rPr>
        <w:t>、202</w:t>
      </w:r>
      <w:r>
        <w:rPr>
          <w:rFonts w:hint="eastAsia" w:ascii="黑体" w:hAnsi="黑体" w:eastAsia="黑体" w:cs="黑体"/>
          <w:b/>
          <w:bCs/>
          <w:color w:val="333333"/>
          <w:sz w:val="32"/>
          <w:szCs w:val="32"/>
          <w:lang w:val="en-US" w:eastAsia="zh-CN"/>
        </w:rPr>
        <w:t>3</w:t>
      </w:r>
      <w:r>
        <w:rPr>
          <w:rFonts w:hint="eastAsia" w:ascii="黑体" w:hAnsi="黑体" w:eastAsia="黑体" w:cs="黑体"/>
          <w:b/>
          <w:bCs/>
          <w:color w:val="333333"/>
          <w:sz w:val="32"/>
          <w:szCs w:val="32"/>
        </w:rPr>
        <w:t>年度事业运行情况</w:t>
      </w:r>
    </w:p>
    <w:p w14:paraId="33954F9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我院事业运行经费为2651.17万元。主要包括：</w:t>
      </w:r>
    </w:p>
    <w:p w14:paraId="3E47876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资福利支出1726万元，占支出65%。较上年度增加了36.91万元增幅2%。其中：基本工资261.34万元、津贴补贴786.88万元、奖金86.23万元、伙食补助费43.09万元、其他社会保障缴费11.96万元、机关事业单位基本养老保险缴费172.15万元、职工基本医疗保险缴费78.06万元、住房公积金120.12万元、其他工资福利支出166.16万元等。增加原因：人员正常晋升职称变动工资及社保缴费有所增加。</w:t>
      </w:r>
    </w:p>
    <w:p w14:paraId="2AA8F3E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商品和服务支出为925.17万元，占总支出35%。较上年度增加392.76万元，增幅74%。其中：办公费为21.58万元、手续费0.54万元、水费为5.9万元、电费为24.1万元、邮电费为24.39万元、物业管理费15.81万元、差旅费为5.65万元、维修(护)费为17.7万元、公务接待费为0.08万元、工会经费为22.62万元、专用材料费为681.2万元、委托业务费12.4万元、公务用车运行维护费为8.67万元、劳务费0元、税金及附加费用0.6万元、其他商品和服务支出为77.66万元、办公设备购置6.31万元 。增长原因：因疫情影响2022年度药品、卫生耗材及试剂支出较本年减少明显；本年度二类疫苗采购支出增幅明显。</w:t>
      </w:r>
    </w:p>
    <w:p w14:paraId="30B3C33A">
      <w:pPr>
        <w:pStyle w:val="12"/>
        <w:spacing w:before="0" w:beforeAutospacing="0" w:after="0" w:afterAutospacing="0"/>
        <w:ind w:firstLine="643" w:firstLineChars="200"/>
        <w:rPr>
          <w:rFonts w:hint="eastAsia" w:ascii="黑体" w:hAnsi="黑体" w:eastAsia="黑体" w:cs="黑体"/>
          <w:b/>
          <w:bCs/>
          <w:color w:val="333333"/>
          <w:sz w:val="32"/>
          <w:szCs w:val="32"/>
        </w:rPr>
      </w:pPr>
      <w:r>
        <w:rPr>
          <w:rFonts w:hint="eastAsia" w:ascii="黑体" w:hAnsi="黑体" w:eastAsia="黑体" w:cs="黑体"/>
          <w:b/>
          <w:bCs/>
          <w:color w:val="333333"/>
          <w:sz w:val="32"/>
          <w:szCs w:val="32"/>
          <w:lang w:val="en-US" w:eastAsia="zh-CN"/>
        </w:rPr>
        <w:t>六</w:t>
      </w:r>
      <w:r>
        <w:rPr>
          <w:rFonts w:hint="eastAsia" w:ascii="黑体" w:hAnsi="黑体" w:eastAsia="黑体" w:cs="黑体"/>
          <w:b/>
          <w:bCs/>
          <w:color w:val="333333"/>
          <w:sz w:val="32"/>
          <w:szCs w:val="32"/>
        </w:rPr>
        <w:t>、“三公经费”情况说明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363"/>
        <w:gridCol w:w="1680"/>
        <w:gridCol w:w="1823"/>
      </w:tblGrid>
      <w:tr w14:paraId="1507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656" w:type="dxa"/>
          </w:tcPr>
          <w:p w14:paraId="6E613788">
            <w:pPr>
              <w:pStyle w:val="12"/>
              <w:spacing w:before="0" w:beforeAutospacing="0" w:after="0" w:afterAutospacing="0"/>
              <w:jc w:val="center"/>
              <w:rPr>
                <w:rFonts w:hint="eastAsia"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项目</w:t>
            </w:r>
          </w:p>
        </w:tc>
        <w:tc>
          <w:tcPr>
            <w:tcW w:w="1363" w:type="dxa"/>
          </w:tcPr>
          <w:p w14:paraId="796498C7">
            <w:pPr>
              <w:pStyle w:val="12"/>
              <w:spacing w:before="0" w:beforeAutospacing="0" w:after="0" w:afterAutospacing="0"/>
              <w:jc w:val="center"/>
              <w:rPr>
                <w:rFonts w:hint="default"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预算数</w:t>
            </w:r>
          </w:p>
        </w:tc>
        <w:tc>
          <w:tcPr>
            <w:tcW w:w="1680" w:type="dxa"/>
          </w:tcPr>
          <w:p w14:paraId="75C821AA">
            <w:pPr>
              <w:pStyle w:val="12"/>
              <w:spacing w:before="0" w:beforeAutospacing="0" w:after="0" w:afterAutospacing="0"/>
              <w:jc w:val="center"/>
              <w:rPr>
                <w:rFonts w:hint="default"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决算数</w:t>
            </w:r>
          </w:p>
        </w:tc>
        <w:tc>
          <w:tcPr>
            <w:tcW w:w="1823" w:type="dxa"/>
          </w:tcPr>
          <w:p w14:paraId="0C1770B7">
            <w:pPr>
              <w:pStyle w:val="12"/>
              <w:spacing w:before="0" w:beforeAutospacing="0" w:after="0" w:afterAutospacing="0"/>
              <w:jc w:val="center"/>
              <w:rPr>
                <w:rFonts w:hint="default"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增减变化</w:t>
            </w:r>
          </w:p>
        </w:tc>
      </w:tr>
      <w:tr w14:paraId="2893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56" w:type="dxa"/>
          </w:tcPr>
          <w:p w14:paraId="7A111FE9">
            <w:pPr>
              <w:pStyle w:val="12"/>
              <w:spacing w:before="0" w:beforeAutospacing="0" w:after="0" w:afterAutospacing="0"/>
              <w:jc w:val="left"/>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1.公务接待费</w:t>
            </w:r>
          </w:p>
        </w:tc>
        <w:tc>
          <w:tcPr>
            <w:tcW w:w="1363" w:type="dxa"/>
          </w:tcPr>
          <w:p w14:paraId="49509883">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2</w:t>
            </w:r>
          </w:p>
        </w:tc>
        <w:tc>
          <w:tcPr>
            <w:tcW w:w="1680" w:type="dxa"/>
          </w:tcPr>
          <w:p w14:paraId="04BB9BC8">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0.08</w:t>
            </w:r>
          </w:p>
        </w:tc>
        <w:tc>
          <w:tcPr>
            <w:tcW w:w="1823" w:type="dxa"/>
          </w:tcPr>
          <w:p w14:paraId="75939CDC">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-1.92</w:t>
            </w:r>
          </w:p>
        </w:tc>
      </w:tr>
      <w:tr w14:paraId="3AAE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656" w:type="dxa"/>
            <w:vAlign w:val="center"/>
          </w:tcPr>
          <w:p w14:paraId="1C0F4EBF">
            <w:pPr>
              <w:pStyle w:val="12"/>
              <w:spacing w:before="0" w:beforeAutospacing="0" w:after="0" w:afterAutospacing="0"/>
              <w:jc w:val="both"/>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2.公务用车购置及运行维护费</w:t>
            </w:r>
          </w:p>
        </w:tc>
        <w:tc>
          <w:tcPr>
            <w:tcW w:w="1363" w:type="dxa"/>
          </w:tcPr>
          <w:p w14:paraId="0817EB40">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10</w:t>
            </w:r>
          </w:p>
        </w:tc>
        <w:tc>
          <w:tcPr>
            <w:tcW w:w="1680" w:type="dxa"/>
            <w:vAlign w:val="center"/>
          </w:tcPr>
          <w:p w14:paraId="77556D61">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8.99</w:t>
            </w:r>
          </w:p>
        </w:tc>
        <w:tc>
          <w:tcPr>
            <w:tcW w:w="1823" w:type="dxa"/>
          </w:tcPr>
          <w:p w14:paraId="05D078EF">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-1.01</w:t>
            </w:r>
          </w:p>
        </w:tc>
      </w:tr>
      <w:tr w14:paraId="2105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656" w:type="dxa"/>
          </w:tcPr>
          <w:p w14:paraId="67C1EA7D">
            <w:pPr>
              <w:pStyle w:val="12"/>
              <w:spacing w:before="0" w:beforeAutospacing="0" w:after="0" w:afterAutospacing="0"/>
              <w:ind w:firstLine="240" w:firstLineChars="100"/>
              <w:jc w:val="center"/>
              <w:rPr>
                <w:rFonts w:hint="eastAsia" w:ascii="仿宋_GB2312" w:hAnsi="Verdana" w:eastAsia="仿宋_GB2312" w:cs="Arial"/>
                <w:b w:val="0"/>
                <w:bCs w:val="0"/>
                <w:color w:val="333333"/>
                <w:sz w:val="24"/>
                <w:szCs w:val="24"/>
                <w:vertAlign w:val="baseline"/>
              </w:rPr>
            </w:pPr>
            <w:r>
              <w:rPr>
                <w:rFonts w:hint="eastAsia" w:ascii="仿宋_GB2312" w:hAnsi="Verdana" w:eastAsia="仿宋_GB2312" w:cs="Arial"/>
                <w:b w:val="0"/>
                <w:bCs w:val="0"/>
                <w:color w:val="333333"/>
                <w:sz w:val="24"/>
                <w:szCs w:val="24"/>
                <w:vertAlign w:val="baseline"/>
              </w:rPr>
              <w:t>（1）公务用车购置费</w:t>
            </w:r>
          </w:p>
        </w:tc>
        <w:tc>
          <w:tcPr>
            <w:tcW w:w="1363" w:type="dxa"/>
          </w:tcPr>
          <w:p w14:paraId="79B8BB74">
            <w:pPr>
              <w:pStyle w:val="12"/>
              <w:spacing w:before="0" w:beforeAutospacing="0" w:after="0" w:afterAutospacing="0"/>
              <w:ind w:firstLine="240" w:firstLineChars="100"/>
              <w:jc w:val="center"/>
              <w:rPr>
                <w:rFonts w:hint="eastAsia" w:ascii="仿宋_GB2312" w:hAnsi="Verdana" w:eastAsia="仿宋_GB2312" w:cs="Arial"/>
                <w:b w:val="0"/>
                <w:bCs w:val="0"/>
                <w:color w:val="333333"/>
                <w:sz w:val="24"/>
                <w:szCs w:val="24"/>
                <w:vertAlign w:val="baseline"/>
                <w:lang w:eastAsia="zh-CN"/>
              </w:rPr>
            </w:pPr>
            <w:r>
              <w:rPr>
                <w:rFonts w:hint="eastAsia" w:ascii="仿宋_GB2312" w:hAnsi="Verdana" w:eastAsia="仿宋_GB2312" w:cs="Arial"/>
                <w:b w:val="0"/>
                <w:bCs w:val="0"/>
                <w:color w:val="333333"/>
                <w:sz w:val="24"/>
                <w:szCs w:val="24"/>
                <w:vertAlign w:val="baseline"/>
                <w:lang w:val="en-US" w:eastAsia="zh-CN"/>
              </w:rPr>
              <w:t>0</w:t>
            </w:r>
          </w:p>
        </w:tc>
        <w:tc>
          <w:tcPr>
            <w:tcW w:w="1680" w:type="dxa"/>
          </w:tcPr>
          <w:p w14:paraId="40B37906">
            <w:pPr>
              <w:pStyle w:val="12"/>
              <w:spacing w:before="0" w:beforeAutospacing="0" w:after="0" w:afterAutospacing="0"/>
              <w:jc w:val="center"/>
              <w:rPr>
                <w:rFonts w:hint="eastAsia" w:ascii="仿宋_GB2312" w:hAnsi="Verdana" w:eastAsia="仿宋_GB2312" w:cs="Arial"/>
                <w:b w:val="0"/>
                <w:bCs w:val="0"/>
                <w:color w:val="333333"/>
                <w:sz w:val="24"/>
                <w:szCs w:val="24"/>
                <w:vertAlign w:val="baseline"/>
                <w:lang w:eastAsia="zh-CN"/>
              </w:rPr>
            </w:pPr>
            <w:r>
              <w:rPr>
                <w:rFonts w:hint="eastAsia" w:ascii="仿宋_GB2312" w:hAnsi="Verdana" w:eastAsia="仿宋_GB2312" w:cs="Arial"/>
                <w:b w:val="0"/>
                <w:bCs w:val="0"/>
                <w:color w:val="333333"/>
                <w:sz w:val="24"/>
                <w:szCs w:val="24"/>
                <w:vertAlign w:val="baseline"/>
                <w:lang w:val="en-US" w:eastAsia="zh-CN"/>
              </w:rPr>
              <w:t>0</w:t>
            </w:r>
          </w:p>
        </w:tc>
        <w:tc>
          <w:tcPr>
            <w:tcW w:w="1823" w:type="dxa"/>
          </w:tcPr>
          <w:p w14:paraId="6F587E73">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0</w:t>
            </w:r>
          </w:p>
        </w:tc>
      </w:tr>
      <w:tr w14:paraId="52A4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656" w:type="dxa"/>
          </w:tcPr>
          <w:p w14:paraId="191454D3">
            <w:pPr>
              <w:pStyle w:val="12"/>
              <w:spacing w:before="0" w:beforeAutospacing="0" w:after="0" w:afterAutospacing="0"/>
              <w:jc w:val="center"/>
              <w:rPr>
                <w:rFonts w:hint="eastAsia" w:ascii="仿宋_GB2312" w:hAnsi="Verdana" w:eastAsia="仿宋_GB2312" w:cs="Arial"/>
                <w:b w:val="0"/>
                <w:bCs w:val="0"/>
                <w:color w:val="333333"/>
                <w:sz w:val="24"/>
                <w:szCs w:val="24"/>
                <w:vertAlign w:val="baseline"/>
              </w:rPr>
            </w:pPr>
            <w:r>
              <w:rPr>
                <w:rFonts w:hint="eastAsia" w:ascii="仿宋_GB2312" w:hAnsi="Verdana" w:eastAsia="仿宋_GB2312" w:cs="Arial"/>
                <w:b w:val="0"/>
                <w:bCs w:val="0"/>
                <w:color w:val="333333"/>
                <w:sz w:val="24"/>
                <w:szCs w:val="24"/>
                <w:vertAlign w:val="baseline"/>
                <w:lang w:val="en-US" w:eastAsia="zh-CN"/>
              </w:rPr>
              <w:t xml:space="preserve">     </w:t>
            </w:r>
            <w:r>
              <w:rPr>
                <w:rFonts w:hint="eastAsia" w:ascii="仿宋_GB2312" w:hAnsi="Verdana" w:eastAsia="仿宋_GB2312" w:cs="Arial"/>
                <w:b w:val="0"/>
                <w:bCs w:val="0"/>
                <w:color w:val="333333"/>
                <w:sz w:val="24"/>
                <w:szCs w:val="24"/>
                <w:vertAlign w:val="baseline"/>
              </w:rPr>
              <w:t>（2）公务用车运行维护费</w:t>
            </w:r>
          </w:p>
        </w:tc>
        <w:tc>
          <w:tcPr>
            <w:tcW w:w="1363" w:type="dxa"/>
            <w:vAlign w:val="center"/>
          </w:tcPr>
          <w:p w14:paraId="55018AE0">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cs="宋体"/>
                <w:b w:val="0"/>
                <w:bCs w:val="0"/>
                <w:i w:val="0"/>
                <w:iCs w:val="0"/>
                <w:color w:val="000000"/>
                <w:kern w:val="0"/>
                <w:sz w:val="22"/>
                <w:szCs w:val="22"/>
                <w:u w:val="none"/>
                <w:lang w:val="en-US" w:eastAsia="zh-CN" w:bidi="ar"/>
              </w:rPr>
              <w:t>10</w:t>
            </w:r>
          </w:p>
        </w:tc>
        <w:tc>
          <w:tcPr>
            <w:tcW w:w="1680" w:type="dxa"/>
          </w:tcPr>
          <w:p w14:paraId="33577FB1">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8.99</w:t>
            </w:r>
          </w:p>
        </w:tc>
        <w:tc>
          <w:tcPr>
            <w:tcW w:w="1823" w:type="dxa"/>
          </w:tcPr>
          <w:p w14:paraId="4F1A00BA">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-1.01</w:t>
            </w:r>
          </w:p>
        </w:tc>
      </w:tr>
      <w:tr w14:paraId="61C8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656" w:type="dxa"/>
          </w:tcPr>
          <w:p w14:paraId="37DC3C90">
            <w:pPr>
              <w:pStyle w:val="12"/>
              <w:spacing w:before="0" w:beforeAutospacing="0" w:after="0" w:afterAutospacing="0"/>
              <w:jc w:val="left"/>
              <w:rPr>
                <w:rFonts w:hint="eastAsia" w:ascii="仿宋_GB2312" w:hAnsi="Verdana" w:eastAsia="仿宋_GB2312" w:cs="Arial"/>
                <w:b w:val="0"/>
                <w:bCs w:val="0"/>
                <w:color w:val="333333"/>
                <w:sz w:val="24"/>
                <w:szCs w:val="24"/>
                <w:vertAlign w:val="baseline"/>
              </w:rPr>
            </w:pPr>
            <w:r>
              <w:rPr>
                <w:rFonts w:hint="eastAsia" w:ascii="仿宋_GB2312" w:hAnsi="Verdana" w:eastAsia="仿宋_GB2312" w:cs="Arial"/>
                <w:b w:val="0"/>
                <w:bCs w:val="0"/>
                <w:color w:val="333333"/>
                <w:sz w:val="24"/>
                <w:szCs w:val="24"/>
                <w:vertAlign w:val="baseline"/>
                <w:lang w:val="en-US" w:eastAsia="zh-CN"/>
              </w:rPr>
              <w:t>3.</w:t>
            </w:r>
            <w:r>
              <w:rPr>
                <w:rFonts w:hint="eastAsia" w:ascii="仿宋_GB2312" w:hAnsi="Verdana" w:eastAsia="仿宋_GB2312" w:cs="Arial"/>
                <w:b w:val="0"/>
                <w:bCs w:val="0"/>
                <w:color w:val="333333"/>
                <w:sz w:val="24"/>
                <w:szCs w:val="24"/>
                <w:vertAlign w:val="baseline"/>
              </w:rPr>
              <w:t>因公出国（境）费</w:t>
            </w:r>
          </w:p>
        </w:tc>
        <w:tc>
          <w:tcPr>
            <w:tcW w:w="1363" w:type="dxa"/>
          </w:tcPr>
          <w:p w14:paraId="7914103F">
            <w:pPr>
              <w:pStyle w:val="12"/>
              <w:spacing w:before="0" w:beforeAutospacing="0" w:after="0" w:afterAutospacing="0"/>
              <w:jc w:val="center"/>
              <w:rPr>
                <w:rFonts w:hint="eastAsia"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0</w:t>
            </w:r>
          </w:p>
        </w:tc>
        <w:tc>
          <w:tcPr>
            <w:tcW w:w="1680" w:type="dxa"/>
          </w:tcPr>
          <w:p w14:paraId="00B42596">
            <w:pPr>
              <w:pStyle w:val="12"/>
              <w:spacing w:before="0" w:beforeAutospacing="0" w:after="0" w:afterAutospacing="0"/>
              <w:jc w:val="center"/>
              <w:rPr>
                <w:rFonts w:hint="eastAsia"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0</w:t>
            </w:r>
          </w:p>
        </w:tc>
        <w:tc>
          <w:tcPr>
            <w:tcW w:w="1823" w:type="dxa"/>
          </w:tcPr>
          <w:p w14:paraId="00BBEDDC">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0</w:t>
            </w:r>
          </w:p>
        </w:tc>
      </w:tr>
      <w:tr w14:paraId="610C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656" w:type="dxa"/>
          </w:tcPr>
          <w:p w14:paraId="0519B246">
            <w:pPr>
              <w:pStyle w:val="12"/>
              <w:spacing w:before="0" w:beforeAutospacing="0" w:after="0" w:afterAutospacing="0"/>
              <w:ind w:firstLine="1440" w:firstLineChars="600"/>
              <w:jc w:val="center"/>
              <w:rPr>
                <w:rFonts w:hint="eastAsia"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合  计</w:t>
            </w:r>
          </w:p>
        </w:tc>
        <w:tc>
          <w:tcPr>
            <w:tcW w:w="1363" w:type="dxa"/>
          </w:tcPr>
          <w:p w14:paraId="544BD2F3">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12</w:t>
            </w:r>
          </w:p>
        </w:tc>
        <w:tc>
          <w:tcPr>
            <w:tcW w:w="1680" w:type="dxa"/>
          </w:tcPr>
          <w:p w14:paraId="255DE153">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10.07</w:t>
            </w:r>
          </w:p>
        </w:tc>
        <w:tc>
          <w:tcPr>
            <w:tcW w:w="1823" w:type="dxa"/>
          </w:tcPr>
          <w:p w14:paraId="57892CEB">
            <w:pPr>
              <w:pStyle w:val="12"/>
              <w:spacing w:before="0" w:beforeAutospacing="0" w:after="0" w:afterAutospacing="0"/>
              <w:jc w:val="center"/>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-2.93</w:t>
            </w:r>
          </w:p>
        </w:tc>
      </w:tr>
    </w:tbl>
    <w:p w14:paraId="43460989">
      <w:pPr>
        <w:pStyle w:val="12"/>
        <w:spacing w:before="0" w:beforeAutospacing="0" w:after="0" w:afterAutospacing="0"/>
        <w:ind w:firstLine="643" w:firstLineChars="200"/>
        <w:rPr>
          <w:rFonts w:hint="default" w:ascii="楷体_GB2312" w:hAnsi="楷体_GB2312" w:eastAsia="楷体_GB2312" w:cs="楷体_GB2312"/>
          <w:b w:val="0"/>
          <w:bCs w:val="0"/>
          <w:color w:val="333333"/>
          <w:sz w:val="24"/>
          <w:szCs w:val="24"/>
          <w:lang w:val="en-US" w:eastAsia="zh-CN"/>
        </w:rPr>
      </w:pPr>
      <w:r>
        <w:rPr>
          <w:rFonts w:hint="eastAsia" w:ascii="楷体_GB2312" w:hAnsi="楷体_GB2312" w:eastAsia="楷体_GB2312" w:cs="楷体_GB2312"/>
          <w:b/>
          <w:bCs/>
          <w:color w:val="333333"/>
          <w:sz w:val="32"/>
          <w:szCs w:val="32"/>
          <w:lang w:val="en-US" w:eastAsia="zh-CN"/>
        </w:rPr>
        <w:t xml:space="preserve">                                      </w:t>
      </w:r>
      <w:r>
        <w:rPr>
          <w:rFonts w:hint="eastAsia" w:ascii="楷体_GB2312" w:hAnsi="楷体_GB2312" w:eastAsia="楷体_GB2312" w:cs="楷体_GB2312"/>
          <w:b w:val="0"/>
          <w:bCs w:val="0"/>
          <w:color w:val="333333"/>
          <w:sz w:val="24"/>
          <w:szCs w:val="24"/>
          <w:lang w:val="en-US" w:eastAsia="zh-CN"/>
        </w:rPr>
        <w:t>单位：万元</w:t>
      </w:r>
    </w:p>
    <w:p w14:paraId="182FB9A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1.2023年我院公务接待1批次共5人合计金额0.08万元。较年初预算数2万元减少1.92万元，较2022年度决算数0万元增加了0.08万元，同比增加100%。原因分析：2022年度我院无公务接待事项发生，因此同比增长明显。</w:t>
      </w:r>
    </w:p>
    <w:p w14:paraId="6A8D873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2.2023年公务用车及运行维护费为8.99万元。较年初预算数10万元减少了1.01万元，较2022年决算数6.22万元增加2.77万元，同比增长44%。原因分析：22年度因疫情影响下乡次数减少，本年度妇幼督导等下乡次数较上年度有所增加。</w:t>
      </w:r>
    </w:p>
    <w:p w14:paraId="26A0022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本年无新增车辆购置。公务车辆年底保有量为3辆，其中1辆为救护车，2辆为其他公务用车。较上年度减少1辆（经批准报废1辆），未超编（编制5辆）。</w:t>
      </w:r>
    </w:p>
    <w:p w14:paraId="0114D78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3.因公出国（境）费用情况：2023年我院无出国(境)事项发生，因此未发生此项费用支出。</w:t>
      </w:r>
    </w:p>
    <w:p w14:paraId="4008DF07">
      <w:pPr>
        <w:pStyle w:val="12"/>
        <w:spacing w:before="0" w:beforeAutospacing="0" w:after="0" w:afterAutospacing="0"/>
        <w:ind w:firstLine="640"/>
        <w:rPr>
          <w:rFonts w:hint="eastAsia" w:ascii="黑体" w:hAnsi="黑体" w:eastAsia="黑体" w:cs="黑体"/>
          <w:b/>
          <w:bCs/>
          <w:color w:val="333333"/>
          <w:sz w:val="32"/>
          <w:szCs w:val="32"/>
        </w:rPr>
      </w:pPr>
      <w:r>
        <w:rPr>
          <w:rFonts w:hint="eastAsia" w:ascii="黑体" w:hAnsi="黑体" w:eastAsia="黑体" w:cs="黑体"/>
          <w:b/>
          <w:bCs/>
          <w:color w:val="333333"/>
          <w:sz w:val="32"/>
          <w:szCs w:val="32"/>
          <w:lang w:val="en-US" w:eastAsia="zh-CN"/>
        </w:rPr>
        <w:t>七</w:t>
      </w:r>
      <w:r>
        <w:rPr>
          <w:rFonts w:hint="eastAsia" w:ascii="黑体" w:hAnsi="黑体" w:eastAsia="黑体" w:cs="黑体"/>
          <w:b/>
          <w:bCs/>
          <w:color w:val="333333"/>
          <w:sz w:val="32"/>
          <w:szCs w:val="32"/>
        </w:rPr>
        <w:t>、其他情况说明</w:t>
      </w:r>
    </w:p>
    <w:p w14:paraId="744D73B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（一）政府性基金预算财政拨款收入支出情况说明</w:t>
      </w:r>
    </w:p>
    <w:p w14:paraId="7FF3230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我单位无政府性基金预算财政拨款，故无相关数据。</w:t>
      </w:r>
    </w:p>
    <w:p w14:paraId="062044F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政府采购情况:</w:t>
      </w:r>
    </w:p>
    <w:p w14:paraId="5E6B62F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2023年度我院无政府采购</w:t>
      </w:r>
    </w:p>
    <w:p w14:paraId="20675CB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国有资产占有情况：</w:t>
      </w:r>
    </w:p>
    <w:p w14:paraId="11B1629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截至2023年12月31日资产合计3950.95万元，其中：流动资产951.42万元，占总资产24%；固定资产净值2999.53万元，占总资产76%。较上年度4369.41万元减少418.46万元，下降了10%。下降原因主要是2023年修改固定折旧相关内容，从购买日补提了折旧。 </w:t>
      </w:r>
    </w:p>
    <w:p w14:paraId="7977615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说明：房屋净值1819.54万元，占资产总量46%、车辆3辆较上年度减少1辆（经批准报废1辆）净值为27.76万元，占资产总量0.7%。</w:t>
      </w:r>
    </w:p>
    <w:p w14:paraId="42D9E9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（四）扶贫资金安排及使用情况</w:t>
      </w:r>
    </w:p>
    <w:p w14:paraId="57F2872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2023年度我院预算未安排扶贫资金。</w:t>
      </w:r>
    </w:p>
    <w:p w14:paraId="5557E10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债务情况</w:t>
      </w:r>
    </w:p>
    <w:p w14:paraId="02EE8E9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2023年度无偿还的债务、待回购的股权投资及应付工资物资款项等。</w:t>
      </w:r>
    </w:p>
    <w:p w14:paraId="136DB09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（六）国有资本经营预算财政拨款支出情况说明</w:t>
      </w:r>
    </w:p>
    <w:p w14:paraId="36DA2D8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2023年度我单位无国有资本经营预算财政拨款，故无相关数据。</w:t>
      </w:r>
    </w:p>
    <w:p w14:paraId="47D6B90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（七）年末结转和结余情况</w:t>
      </w:r>
    </w:p>
    <w:p w14:paraId="6B6C2A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我院无财政年末结转结余。</w:t>
      </w:r>
    </w:p>
    <w:p w14:paraId="5AA282A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（八）重点绩效评价结果等预算绩效情况说明 </w:t>
      </w:r>
    </w:p>
    <w:p w14:paraId="544AF2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截止2023年12月31日项目预算执行情况如下表：</w:t>
      </w:r>
    </w:p>
    <w:tbl>
      <w:tblPr>
        <w:tblStyle w:val="10"/>
        <w:tblW w:w="900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1187"/>
        <w:gridCol w:w="1227"/>
        <w:gridCol w:w="1253"/>
        <w:gridCol w:w="1800"/>
      </w:tblGrid>
      <w:tr w14:paraId="3DAC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33" w:type="dxa"/>
            <w:noWrap w:val="0"/>
            <w:vAlign w:val="top"/>
          </w:tcPr>
          <w:p w14:paraId="7A6F41C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t>项目名称</w:t>
            </w:r>
          </w:p>
        </w:tc>
        <w:tc>
          <w:tcPr>
            <w:tcW w:w="1187" w:type="dxa"/>
            <w:noWrap w:val="0"/>
            <w:vAlign w:val="top"/>
          </w:tcPr>
          <w:p w14:paraId="342995AF">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t>预算数</w:t>
            </w:r>
          </w:p>
        </w:tc>
        <w:tc>
          <w:tcPr>
            <w:tcW w:w="1227" w:type="dxa"/>
            <w:noWrap w:val="0"/>
            <w:vAlign w:val="top"/>
          </w:tcPr>
          <w:p w14:paraId="00EC58E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t>支出数</w:t>
            </w:r>
          </w:p>
        </w:tc>
        <w:tc>
          <w:tcPr>
            <w:tcW w:w="1253" w:type="dxa"/>
            <w:noWrap w:val="0"/>
            <w:vAlign w:val="top"/>
          </w:tcPr>
          <w:p w14:paraId="5018F95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t>未支出数</w:t>
            </w:r>
          </w:p>
        </w:tc>
        <w:tc>
          <w:tcPr>
            <w:tcW w:w="1800" w:type="dxa"/>
            <w:noWrap w:val="0"/>
            <w:vAlign w:val="top"/>
          </w:tcPr>
          <w:p w14:paraId="12032D19">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bCs/>
                <w:i w:val="0"/>
                <w:iCs w:val="0"/>
                <w:caps w:val="0"/>
                <w:color w:val="auto"/>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auto"/>
                <w:spacing w:val="0"/>
                <w:sz w:val="24"/>
                <w:szCs w:val="24"/>
                <w:shd w:val="clear" w:color="auto" w:fill="FFFFFF"/>
                <w:vertAlign w:val="baseline"/>
                <w:lang w:val="en-US" w:eastAsia="zh-CN"/>
              </w:rPr>
              <w:t>情况说明</w:t>
            </w:r>
          </w:p>
        </w:tc>
      </w:tr>
      <w:tr w14:paraId="06E7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533" w:type="dxa"/>
            <w:noWrap w:val="0"/>
            <w:vAlign w:val="top"/>
          </w:tcPr>
          <w:p w14:paraId="6AB7B58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三支一扶补助</w:t>
            </w:r>
          </w:p>
        </w:tc>
        <w:tc>
          <w:tcPr>
            <w:tcW w:w="1187" w:type="dxa"/>
            <w:noWrap w:val="0"/>
            <w:vAlign w:val="top"/>
          </w:tcPr>
          <w:p w14:paraId="5B5C6B8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152700</w:t>
            </w:r>
          </w:p>
        </w:tc>
        <w:tc>
          <w:tcPr>
            <w:tcW w:w="1227" w:type="dxa"/>
            <w:noWrap w:val="0"/>
            <w:vAlign w:val="top"/>
          </w:tcPr>
          <w:p w14:paraId="6B6CF09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152700</w:t>
            </w:r>
          </w:p>
        </w:tc>
        <w:tc>
          <w:tcPr>
            <w:tcW w:w="1253" w:type="dxa"/>
            <w:noWrap w:val="0"/>
            <w:vAlign w:val="top"/>
          </w:tcPr>
          <w:p w14:paraId="61F1F0F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1865709F">
            <w:pPr>
              <w:keepNext w:val="0"/>
              <w:keepLines w:val="0"/>
              <w:pageBreakBefore w:val="0"/>
              <w:kinsoku/>
              <w:wordWrap/>
              <w:overflowPunct/>
              <w:topLinePunct w:val="0"/>
              <w:autoSpaceDN/>
              <w:bidi w:val="0"/>
              <w:spacing w:line="500" w:lineRule="exact"/>
              <w:jc w:val="left"/>
              <w:rPr>
                <w:rFonts w:hint="eastAsia" w:ascii="仿宋_GB2312" w:hAnsi="仿宋_GB2312" w:eastAsia="仿宋_GB2312" w:cs="仿宋_GB2312"/>
                <w:color w:val="auto"/>
                <w:sz w:val="21"/>
                <w:szCs w:val="21"/>
                <w:lang w:val="en-US" w:eastAsia="zh-CN"/>
              </w:rPr>
            </w:pPr>
          </w:p>
        </w:tc>
      </w:tr>
      <w:tr w14:paraId="3C4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533" w:type="dxa"/>
            <w:noWrap w:val="0"/>
            <w:vAlign w:val="top"/>
          </w:tcPr>
          <w:p w14:paraId="70F9815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2022年提前下达公立医院综合改革补助资金</w:t>
            </w:r>
          </w:p>
        </w:tc>
        <w:tc>
          <w:tcPr>
            <w:tcW w:w="1187" w:type="dxa"/>
            <w:noWrap w:val="0"/>
            <w:vAlign w:val="top"/>
          </w:tcPr>
          <w:p w14:paraId="7C2A038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473900</w:t>
            </w:r>
          </w:p>
        </w:tc>
        <w:tc>
          <w:tcPr>
            <w:tcW w:w="1227" w:type="dxa"/>
            <w:noWrap w:val="0"/>
            <w:vAlign w:val="top"/>
          </w:tcPr>
          <w:p w14:paraId="5372028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472800</w:t>
            </w:r>
          </w:p>
        </w:tc>
        <w:tc>
          <w:tcPr>
            <w:tcW w:w="1253" w:type="dxa"/>
            <w:noWrap w:val="0"/>
            <w:vAlign w:val="top"/>
          </w:tcPr>
          <w:p w14:paraId="6595AE79">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1100</w:t>
            </w:r>
          </w:p>
        </w:tc>
        <w:tc>
          <w:tcPr>
            <w:tcW w:w="1800" w:type="dxa"/>
            <w:noWrap w:val="0"/>
            <w:vAlign w:val="top"/>
          </w:tcPr>
          <w:p w14:paraId="7EB035FF">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793B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533" w:type="dxa"/>
            <w:noWrap w:val="0"/>
            <w:vAlign w:val="top"/>
          </w:tcPr>
          <w:p w14:paraId="2442033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市直各单位人员未休假补助经费</w:t>
            </w:r>
          </w:p>
        </w:tc>
        <w:tc>
          <w:tcPr>
            <w:tcW w:w="1187" w:type="dxa"/>
            <w:noWrap w:val="0"/>
            <w:vAlign w:val="top"/>
          </w:tcPr>
          <w:p w14:paraId="3B5625C0">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224700</w:t>
            </w:r>
          </w:p>
        </w:tc>
        <w:tc>
          <w:tcPr>
            <w:tcW w:w="1227" w:type="dxa"/>
            <w:noWrap w:val="0"/>
            <w:vAlign w:val="top"/>
          </w:tcPr>
          <w:p w14:paraId="267BDA89">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18715</w:t>
            </w:r>
          </w:p>
        </w:tc>
        <w:tc>
          <w:tcPr>
            <w:tcW w:w="1253" w:type="dxa"/>
            <w:noWrap w:val="0"/>
            <w:vAlign w:val="top"/>
          </w:tcPr>
          <w:p w14:paraId="46186C7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205985</w:t>
            </w:r>
          </w:p>
        </w:tc>
        <w:tc>
          <w:tcPr>
            <w:tcW w:w="1800" w:type="dxa"/>
            <w:noWrap w:val="0"/>
            <w:vAlign w:val="top"/>
          </w:tcPr>
          <w:p w14:paraId="6EF5B31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126F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533" w:type="dxa"/>
            <w:noWrap w:val="0"/>
            <w:vAlign w:val="top"/>
          </w:tcPr>
          <w:p w14:paraId="326AB6CA">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基本公卫补助资金</w:t>
            </w:r>
          </w:p>
        </w:tc>
        <w:tc>
          <w:tcPr>
            <w:tcW w:w="1187" w:type="dxa"/>
            <w:noWrap w:val="0"/>
            <w:vAlign w:val="top"/>
          </w:tcPr>
          <w:p w14:paraId="1908E4C9">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305000</w:t>
            </w:r>
          </w:p>
        </w:tc>
        <w:tc>
          <w:tcPr>
            <w:tcW w:w="1227" w:type="dxa"/>
            <w:noWrap w:val="0"/>
            <w:vAlign w:val="top"/>
          </w:tcPr>
          <w:p w14:paraId="020A9FA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298800.31</w:t>
            </w:r>
          </w:p>
        </w:tc>
        <w:tc>
          <w:tcPr>
            <w:tcW w:w="1253" w:type="dxa"/>
            <w:noWrap w:val="0"/>
            <w:vAlign w:val="top"/>
          </w:tcPr>
          <w:p w14:paraId="32EBA36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6199.69</w:t>
            </w:r>
          </w:p>
        </w:tc>
        <w:tc>
          <w:tcPr>
            <w:tcW w:w="1800" w:type="dxa"/>
            <w:noWrap w:val="0"/>
            <w:vAlign w:val="top"/>
          </w:tcPr>
          <w:p w14:paraId="3DB5259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3EFF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0F8CB41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林芝市妇幼保健院环境监测（检测）技术服务</w:t>
            </w:r>
          </w:p>
        </w:tc>
        <w:tc>
          <w:tcPr>
            <w:tcW w:w="1187" w:type="dxa"/>
            <w:noWrap w:val="0"/>
            <w:vAlign w:val="top"/>
          </w:tcPr>
          <w:p w14:paraId="3EAA8AC0">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72000</w:t>
            </w:r>
          </w:p>
        </w:tc>
        <w:tc>
          <w:tcPr>
            <w:tcW w:w="1227" w:type="dxa"/>
            <w:noWrap w:val="0"/>
            <w:vAlign w:val="top"/>
          </w:tcPr>
          <w:p w14:paraId="2CEBE45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72000</w:t>
            </w:r>
          </w:p>
        </w:tc>
        <w:tc>
          <w:tcPr>
            <w:tcW w:w="1253" w:type="dxa"/>
            <w:noWrap w:val="0"/>
            <w:vAlign w:val="top"/>
          </w:tcPr>
          <w:p w14:paraId="51BABF29">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3BCA5AD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7A5B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533" w:type="dxa"/>
            <w:noWrap w:val="0"/>
            <w:vAlign w:val="top"/>
          </w:tcPr>
          <w:p w14:paraId="2C3F696B">
            <w:pPr>
              <w:pStyle w:val="7"/>
              <w:keepNext w:val="0"/>
              <w:keepLines w:val="0"/>
              <w:pageBreakBefore w:val="0"/>
              <w:widowControl/>
              <w:numPr>
                <w:ilvl w:val="0"/>
                <w:numId w:val="0"/>
              </w:numPr>
              <w:suppressLineNumbers w:val="0"/>
              <w:tabs>
                <w:tab w:val="left" w:pos="2245"/>
              </w:tabs>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林芝市13-14岁HPV接种及接种项目</w:t>
            </w:r>
          </w:p>
        </w:tc>
        <w:tc>
          <w:tcPr>
            <w:tcW w:w="1187" w:type="dxa"/>
            <w:noWrap w:val="0"/>
            <w:vAlign w:val="top"/>
          </w:tcPr>
          <w:p w14:paraId="447C276F">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15053.30</w:t>
            </w:r>
          </w:p>
        </w:tc>
        <w:tc>
          <w:tcPr>
            <w:tcW w:w="1227" w:type="dxa"/>
            <w:noWrap w:val="0"/>
            <w:vAlign w:val="top"/>
          </w:tcPr>
          <w:p w14:paraId="0F56DE35">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15053.3</w:t>
            </w:r>
          </w:p>
        </w:tc>
        <w:tc>
          <w:tcPr>
            <w:tcW w:w="1253" w:type="dxa"/>
            <w:noWrap w:val="0"/>
            <w:vAlign w:val="top"/>
          </w:tcPr>
          <w:p w14:paraId="7E3D70A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684BBCC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0F93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5A26365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全市适龄在校女生HPV疫苗接种服务经费2023年</w:t>
            </w:r>
          </w:p>
        </w:tc>
        <w:tc>
          <w:tcPr>
            <w:tcW w:w="1187" w:type="dxa"/>
            <w:noWrap w:val="0"/>
            <w:vAlign w:val="top"/>
          </w:tcPr>
          <w:p w14:paraId="75EC3C1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13800</w:t>
            </w:r>
          </w:p>
        </w:tc>
        <w:tc>
          <w:tcPr>
            <w:tcW w:w="1227" w:type="dxa"/>
            <w:noWrap w:val="0"/>
            <w:vAlign w:val="top"/>
          </w:tcPr>
          <w:p w14:paraId="3BCF5B2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11618.2</w:t>
            </w:r>
          </w:p>
        </w:tc>
        <w:tc>
          <w:tcPr>
            <w:tcW w:w="1253" w:type="dxa"/>
            <w:noWrap w:val="0"/>
            <w:vAlign w:val="top"/>
          </w:tcPr>
          <w:p w14:paraId="5EE2326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2181.8</w:t>
            </w:r>
          </w:p>
        </w:tc>
        <w:tc>
          <w:tcPr>
            <w:tcW w:w="1800" w:type="dxa"/>
            <w:noWrap w:val="0"/>
            <w:vAlign w:val="top"/>
          </w:tcPr>
          <w:p w14:paraId="740458D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5C92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3DC86FF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信息系统网络安全等级保护</w:t>
            </w:r>
          </w:p>
        </w:tc>
        <w:tc>
          <w:tcPr>
            <w:tcW w:w="1187" w:type="dxa"/>
            <w:noWrap w:val="0"/>
            <w:vAlign w:val="top"/>
          </w:tcPr>
          <w:p w14:paraId="6613753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1402400</w:t>
            </w:r>
          </w:p>
        </w:tc>
        <w:tc>
          <w:tcPr>
            <w:tcW w:w="1227" w:type="dxa"/>
            <w:noWrap w:val="0"/>
            <w:vAlign w:val="top"/>
          </w:tcPr>
          <w:p w14:paraId="2A3AD17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1306288</w:t>
            </w:r>
          </w:p>
        </w:tc>
        <w:tc>
          <w:tcPr>
            <w:tcW w:w="1253" w:type="dxa"/>
            <w:noWrap w:val="0"/>
            <w:vAlign w:val="top"/>
          </w:tcPr>
          <w:p w14:paraId="60FC8C2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96112</w:t>
            </w:r>
          </w:p>
        </w:tc>
        <w:tc>
          <w:tcPr>
            <w:tcW w:w="1800" w:type="dxa"/>
            <w:noWrap w:val="0"/>
            <w:vAlign w:val="top"/>
          </w:tcPr>
          <w:p w14:paraId="142463E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48D5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42F006B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电子票据系统建设项目</w:t>
            </w:r>
          </w:p>
        </w:tc>
        <w:tc>
          <w:tcPr>
            <w:tcW w:w="1187" w:type="dxa"/>
            <w:noWrap w:val="0"/>
            <w:vAlign w:val="top"/>
          </w:tcPr>
          <w:p w14:paraId="445A64A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782800</w:t>
            </w:r>
          </w:p>
        </w:tc>
        <w:tc>
          <w:tcPr>
            <w:tcW w:w="1227" w:type="dxa"/>
            <w:noWrap w:val="0"/>
            <w:vAlign w:val="top"/>
          </w:tcPr>
          <w:p w14:paraId="0D27925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782000</w:t>
            </w:r>
          </w:p>
        </w:tc>
        <w:tc>
          <w:tcPr>
            <w:tcW w:w="1253" w:type="dxa"/>
            <w:noWrap w:val="0"/>
            <w:vAlign w:val="top"/>
          </w:tcPr>
          <w:p w14:paraId="55124DE7">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800</w:t>
            </w:r>
          </w:p>
        </w:tc>
        <w:tc>
          <w:tcPr>
            <w:tcW w:w="1800" w:type="dxa"/>
            <w:noWrap w:val="0"/>
            <w:vAlign w:val="top"/>
          </w:tcPr>
          <w:p w14:paraId="5C79B177">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40EF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65EA2196">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三大节日慰问金</w:t>
            </w:r>
          </w:p>
        </w:tc>
        <w:tc>
          <w:tcPr>
            <w:tcW w:w="1187" w:type="dxa"/>
            <w:noWrap w:val="0"/>
            <w:vAlign w:val="top"/>
          </w:tcPr>
          <w:p w14:paraId="7880F4D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16000</w:t>
            </w:r>
          </w:p>
        </w:tc>
        <w:tc>
          <w:tcPr>
            <w:tcW w:w="1227" w:type="dxa"/>
            <w:noWrap w:val="0"/>
            <w:vAlign w:val="top"/>
          </w:tcPr>
          <w:p w14:paraId="6B71668B">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16000</w:t>
            </w:r>
          </w:p>
        </w:tc>
        <w:tc>
          <w:tcPr>
            <w:tcW w:w="1253" w:type="dxa"/>
            <w:noWrap w:val="0"/>
            <w:vAlign w:val="top"/>
          </w:tcPr>
          <w:p w14:paraId="5131E8C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4756F88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4BF1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7B6FA21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子女探亲费项目</w:t>
            </w:r>
          </w:p>
        </w:tc>
        <w:tc>
          <w:tcPr>
            <w:tcW w:w="1187" w:type="dxa"/>
            <w:noWrap w:val="0"/>
            <w:vAlign w:val="top"/>
          </w:tcPr>
          <w:p w14:paraId="3205CD7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3345</w:t>
            </w:r>
          </w:p>
        </w:tc>
        <w:tc>
          <w:tcPr>
            <w:tcW w:w="1227" w:type="dxa"/>
            <w:noWrap w:val="0"/>
            <w:vAlign w:val="top"/>
          </w:tcPr>
          <w:p w14:paraId="22FC3D2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3345</w:t>
            </w:r>
          </w:p>
        </w:tc>
        <w:tc>
          <w:tcPr>
            <w:tcW w:w="1253" w:type="dxa"/>
            <w:noWrap w:val="0"/>
            <w:vAlign w:val="top"/>
          </w:tcPr>
          <w:p w14:paraId="2D3D052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2FBEECF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1E01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68E2FF46">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重大公共卫生服务</w:t>
            </w:r>
          </w:p>
        </w:tc>
        <w:tc>
          <w:tcPr>
            <w:tcW w:w="1187" w:type="dxa"/>
            <w:noWrap w:val="0"/>
            <w:vAlign w:val="top"/>
          </w:tcPr>
          <w:p w14:paraId="4C49BEE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809400</w:t>
            </w:r>
          </w:p>
        </w:tc>
        <w:tc>
          <w:tcPr>
            <w:tcW w:w="1227" w:type="dxa"/>
            <w:noWrap w:val="0"/>
            <w:vAlign w:val="top"/>
          </w:tcPr>
          <w:p w14:paraId="7E97281B">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723660</w:t>
            </w:r>
          </w:p>
        </w:tc>
        <w:tc>
          <w:tcPr>
            <w:tcW w:w="1253" w:type="dxa"/>
            <w:noWrap w:val="0"/>
            <w:vAlign w:val="top"/>
          </w:tcPr>
          <w:p w14:paraId="7743447F">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85740</w:t>
            </w:r>
          </w:p>
        </w:tc>
        <w:tc>
          <w:tcPr>
            <w:tcW w:w="1800" w:type="dxa"/>
            <w:noWrap w:val="0"/>
            <w:vAlign w:val="top"/>
          </w:tcPr>
          <w:p w14:paraId="70C77135">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524D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56A7571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干部职工体检费</w:t>
            </w:r>
          </w:p>
        </w:tc>
        <w:tc>
          <w:tcPr>
            <w:tcW w:w="1187" w:type="dxa"/>
            <w:noWrap w:val="0"/>
            <w:vAlign w:val="top"/>
          </w:tcPr>
          <w:p w14:paraId="2D7E139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108000</w:t>
            </w:r>
          </w:p>
        </w:tc>
        <w:tc>
          <w:tcPr>
            <w:tcW w:w="1227" w:type="dxa"/>
            <w:noWrap w:val="0"/>
            <w:vAlign w:val="top"/>
          </w:tcPr>
          <w:p w14:paraId="2DB04AEE">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108000</w:t>
            </w:r>
          </w:p>
        </w:tc>
        <w:tc>
          <w:tcPr>
            <w:tcW w:w="1253" w:type="dxa"/>
            <w:noWrap w:val="0"/>
            <w:vAlign w:val="top"/>
          </w:tcPr>
          <w:p w14:paraId="2FFC962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3910C3F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7A51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4D409D45">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信息系统升级项目</w:t>
            </w:r>
          </w:p>
        </w:tc>
        <w:tc>
          <w:tcPr>
            <w:tcW w:w="1187" w:type="dxa"/>
            <w:noWrap w:val="0"/>
            <w:vAlign w:val="top"/>
          </w:tcPr>
          <w:p w14:paraId="49F84400">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1772600</w:t>
            </w:r>
          </w:p>
        </w:tc>
        <w:tc>
          <w:tcPr>
            <w:tcW w:w="1227" w:type="dxa"/>
            <w:noWrap w:val="0"/>
            <w:vAlign w:val="top"/>
          </w:tcPr>
          <w:p w14:paraId="705ACDA2">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1770000</w:t>
            </w:r>
          </w:p>
        </w:tc>
        <w:tc>
          <w:tcPr>
            <w:tcW w:w="1253" w:type="dxa"/>
            <w:noWrap w:val="0"/>
            <w:vAlign w:val="top"/>
          </w:tcPr>
          <w:p w14:paraId="3532D2BF">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2600</w:t>
            </w:r>
          </w:p>
        </w:tc>
        <w:tc>
          <w:tcPr>
            <w:tcW w:w="1800" w:type="dxa"/>
            <w:noWrap w:val="0"/>
            <w:vAlign w:val="top"/>
          </w:tcPr>
          <w:p w14:paraId="57458E1B">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0461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2A778D77">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党建经费</w:t>
            </w:r>
          </w:p>
        </w:tc>
        <w:tc>
          <w:tcPr>
            <w:tcW w:w="1187" w:type="dxa"/>
            <w:noWrap w:val="0"/>
            <w:vAlign w:val="top"/>
          </w:tcPr>
          <w:p w14:paraId="6656148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86200</w:t>
            </w:r>
          </w:p>
        </w:tc>
        <w:tc>
          <w:tcPr>
            <w:tcW w:w="1227" w:type="dxa"/>
            <w:noWrap w:val="0"/>
            <w:vAlign w:val="top"/>
          </w:tcPr>
          <w:p w14:paraId="4E165B1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33710.99</w:t>
            </w:r>
          </w:p>
        </w:tc>
        <w:tc>
          <w:tcPr>
            <w:tcW w:w="1253" w:type="dxa"/>
            <w:noWrap w:val="0"/>
            <w:vAlign w:val="top"/>
          </w:tcPr>
          <w:p w14:paraId="6CC79D36">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52489.01</w:t>
            </w:r>
          </w:p>
        </w:tc>
        <w:tc>
          <w:tcPr>
            <w:tcW w:w="1800" w:type="dxa"/>
            <w:noWrap w:val="0"/>
            <w:vAlign w:val="top"/>
          </w:tcPr>
          <w:p w14:paraId="7700FB03">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6F3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1CC18870">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保健院HIS信息系统维护费</w:t>
            </w:r>
          </w:p>
        </w:tc>
        <w:tc>
          <w:tcPr>
            <w:tcW w:w="1187" w:type="dxa"/>
            <w:noWrap w:val="0"/>
            <w:vAlign w:val="top"/>
          </w:tcPr>
          <w:p w14:paraId="7B3FD1C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193000</w:t>
            </w:r>
          </w:p>
        </w:tc>
        <w:tc>
          <w:tcPr>
            <w:tcW w:w="1227" w:type="dxa"/>
            <w:noWrap w:val="0"/>
            <w:vAlign w:val="top"/>
          </w:tcPr>
          <w:p w14:paraId="539A4590">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193000</w:t>
            </w:r>
          </w:p>
        </w:tc>
        <w:tc>
          <w:tcPr>
            <w:tcW w:w="1253" w:type="dxa"/>
            <w:noWrap w:val="0"/>
            <w:vAlign w:val="top"/>
          </w:tcPr>
          <w:p w14:paraId="3A2734D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197BB6F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4A58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09B6E2B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儿童早期发展中心软件维护服务</w:t>
            </w:r>
          </w:p>
        </w:tc>
        <w:tc>
          <w:tcPr>
            <w:tcW w:w="1187" w:type="dxa"/>
            <w:noWrap w:val="0"/>
            <w:vAlign w:val="top"/>
          </w:tcPr>
          <w:p w14:paraId="36F0D0D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34500</w:t>
            </w:r>
          </w:p>
        </w:tc>
        <w:tc>
          <w:tcPr>
            <w:tcW w:w="1227" w:type="dxa"/>
            <w:noWrap w:val="0"/>
            <w:vAlign w:val="top"/>
          </w:tcPr>
          <w:p w14:paraId="6F7EB4C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34500</w:t>
            </w:r>
          </w:p>
        </w:tc>
        <w:tc>
          <w:tcPr>
            <w:tcW w:w="1253" w:type="dxa"/>
            <w:noWrap w:val="0"/>
            <w:vAlign w:val="top"/>
          </w:tcPr>
          <w:p w14:paraId="650B8F5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03604C7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7AE4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6FD92372">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周转房维修改造</w:t>
            </w:r>
          </w:p>
        </w:tc>
        <w:tc>
          <w:tcPr>
            <w:tcW w:w="1187" w:type="dxa"/>
            <w:noWrap w:val="0"/>
            <w:vAlign w:val="top"/>
          </w:tcPr>
          <w:p w14:paraId="5B2E04A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50500</w:t>
            </w:r>
          </w:p>
        </w:tc>
        <w:tc>
          <w:tcPr>
            <w:tcW w:w="1227" w:type="dxa"/>
            <w:noWrap w:val="0"/>
            <w:vAlign w:val="top"/>
          </w:tcPr>
          <w:p w14:paraId="576E23D4">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50485</w:t>
            </w:r>
          </w:p>
        </w:tc>
        <w:tc>
          <w:tcPr>
            <w:tcW w:w="1253" w:type="dxa"/>
            <w:noWrap w:val="0"/>
            <w:vAlign w:val="top"/>
          </w:tcPr>
          <w:p w14:paraId="4FBA43BA">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firstLine="420" w:firstLineChars="20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15</w:t>
            </w:r>
          </w:p>
        </w:tc>
        <w:tc>
          <w:tcPr>
            <w:tcW w:w="1800" w:type="dxa"/>
            <w:noWrap w:val="0"/>
            <w:vAlign w:val="top"/>
          </w:tcPr>
          <w:p w14:paraId="7100AE4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项目已完成调减</w:t>
            </w:r>
          </w:p>
        </w:tc>
      </w:tr>
      <w:tr w14:paraId="16D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2830423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两定医保接口改造项目</w:t>
            </w:r>
          </w:p>
        </w:tc>
        <w:tc>
          <w:tcPr>
            <w:tcW w:w="1187" w:type="dxa"/>
            <w:noWrap w:val="0"/>
            <w:vAlign w:val="top"/>
          </w:tcPr>
          <w:p w14:paraId="0163634A">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200000</w:t>
            </w:r>
          </w:p>
        </w:tc>
        <w:tc>
          <w:tcPr>
            <w:tcW w:w="1227" w:type="dxa"/>
            <w:noWrap w:val="0"/>
            <w:vAlign w:val="top"/>
          </w:tcPr>
          <w:p w14:paraId="55DA5740">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200000</w:t>
            </w:r>
          </w:p>
        </w:tc>
        <w:tc>
          <w:tcPr>
            <w:tcW w:w="1253" w:type="dxa"/>
            <w:noWrap w:val="0"/>
            <w:vAlign w:val="top"/>
          </w:tcPr>
          <w:p w14:paraId="7BFA5661">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firstLine="420" w:firstLineChars="20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542C9AD8">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05AC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3" w:type="dxa"/>
            <w:noWrap w:val="0"/>
            <w:vAlign w:val="top"/>
          </w:tcPr>
          <w:p w14:paraId="057FEA1C">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药品差价补助经费</w:t>
            </w:r>
          </w:p>
        </w:tc>
        <w:tc>
          <w:tcPr>
            <w:tcW w:w="1187" w:type="dxa"/>
            <w:noWrap w:val="0"/>
            <w:vAlign w:val="top"/>
          </w:tcPr>
          <w:p w14:paraId="00AF57ED">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63800</w:t>
            </w:r>
          </w:p>
        </w:tc>
        <w:tc>
          <w:tcPr>
            <w:tcW w:w="1227" w:type="dxa"/>
            <w:noWrap w:val="0"/>
            <w:vAlign w:val="top"/>
          </w:tcPr>
          <w:p w14:paraId="4D041EB2">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63800</w:t>
            </w:r>
          </w:p>
        </w:tc>
        <w:tc>
          <w:tcPr>
            <w:tcW w:w="1253" w:type="dxa"/>
            <w:noWrap w:val="0"/>
            <w:vAlign w:val="top"/>
          </w:tcPr>
          <w:p w14:paraId="15F00312">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0</w:t>
            </w:r>
          </w:p>
        </w:tc>
        <w:tc>
          <w:tcPr>
            <w:tcW w:w="1800" w:type="dxa"/>
            <w:noWrap w:val="0"/>
            <w:vAlign w:val="top"/>
          </w:tcPr>
          <w:p w14:paraId="00484A45">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r w14:paraId="5EE3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33" w:type="dxa"/>
            <w:noWrap w:val="0"/>
            <w:vAlign w:val="top"/>
          </w:tcPr>
          <w:p w14:paraId="102BBDA6">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center"/>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bCs/>
                <w:i w:val="0"/>
                <w:iCs w:val="0"/>
                <w:caps w:val="0"/>
                <w:color w:val="auto"/>
                <w:spacing w:val="0"/>
                <w:sz w:val="21"/>
                <w:szCs w:val="21"/>
                <w:shd w:val="clear" w:color="auto" w:fill="FFFFFF"/>
                <w:vertAlign w:val="baseline"/>
                <w:lang w:val="en-US" w:eastAsia="zh-CN"/>
              </w:rPr>
              <w:t>合计</w:t>
            </w:r>
          </w:p>
        </w:tc>
        <w:tc>
          <w:tcPr>
            <w:tcW w:w="1187" w:type="dxa"/>
            <w:noWrap w:val="0"/>
            <w:vAlign w:val="top"/>
          </w:tcPr>
          <w:p w14:paraId="54257646">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6779698.3</w:t>
            </w:r>
          </w:p>
        </w:tc>
        <w:tc>
          <w:tcPr>
            <w:tcW w:w="1227" w:type="dxa"/>
            <w:noWrap w:val="0"/>
            <w:vAlign w:val="top"/>
          </w:tcPr>
          <w:p w14:paraId="2BD274E6">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6326475.8</w:t>
            </w:r>
          </w:p>
        </w:tc>
        <w:tc>
          <w:tcPr>
            <w:tcW w:w="1253" w:type="dxa"/>
            <w:noWrap w:val="0"/>
            <w:vAlign w:val="top"/>
          </w:tcPr>
          <w:p w14:paraId="6C016839">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default"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t>453222.5</w:t>
            </w:r>
          </w:p>
        </w:tc>
        <w:tc>
          <w:tcPr>
            <w:tcW w:w="1800" w:type="dxa"/>
            <w:noWrap w:val="0"/>
            <w:vAlign w:val="top"/>
          </w:tcPr>
          <w:p w14:paraId="12DFBFEA">
            <w:pPr>
              <w:pStyle w:val="7"/>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500" w:lineRule="exact"/>
              <w:ind w:right="0" w:rightChars="0"/>
              <w:jc w:val="both"/>
              <w:rPr>
                <w:rFonts w:hint="eastAsia" w:ascii="仿宋_GB2312" w:hAnsi="仿宋_GB2312" w:eastAsia="仿宋_GB2312" w:cs="仿宋_GB2312"/>
                <w:b w:val="0"/>
                <w:bCs w:val="0"/>
                <w:i w:val="0"/>
                <w:iCs w:val="0"/>
                <w:caps w:val="0"/>
                <w:color w:val="auto"/>
                <w:spacing w:val="0"/>
                <w:sz w:val="21"/>
                <w:szCs w:val="21"/>
                <w:shd w:val="clear" w:color="auto" w:fill="FFFFFF"/>
                <w:vertAlign w:val="baseline"/>
                <w:lang w:val="en-US" w:eastAsia="zh-CN"/>
              </w:rPr>
            </w:pPr>
          </w:p>
        </w:tc>
      </w:tr>
    </w:tbl>
    <w:p w14:paraId="69CFFBD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根据预算绩效管理要求，本年度我院项目已全部纳入预算绩效目标管理，工作指标均完成。</w:t>
      </w:r>
    </w:p>
    <w:p w14:paraId="6BBCF08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项目执行总体较好，主要是加强与各科室之间的沟通协调，基本达到了年初制定的总体任务目标。主要做法把握部门整体支出实施总体目标，细化内容，根据部门绩效目标对应的指标，合理量化指标值，全面反映部门整体支出执行情况，强化对预算资金支出力度，切实提高了资金使用效率；加强对预算资金支出的努力程度对于确实不能完成的项目经费进行指标调减，控制资金结余，及时上缴结余资金。</w:t>
      </w:r>
    </w:p>
    <w:p w14:paraId="71A17BE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八、其他事项说明</w:t>
      </w:r>
    </w:p>
    <w:p w14:paraId="2FF4A95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小标宋简体" w:hAnsi="方正小标宋简体" w:eastAsia="方正小标宋简体" w:cs="方正小标宋简体"/>
          <w:b/>
          <w:bCs/>
          <w:color w:val="000000"/>
          <w:sz w:val="32"/>
          <w:szCs w:val="32"/>
          <w:lang w:eastAsia="zh-CN"/>
        </w:rPr>
      </w:pPr>
      <w:r>
        <w:rPr>
          <w:rFonts w:hint="eastAsia" w:ascii="仿宋_GB2312" w:hAnsi="仿宋_GB2312" w:eastAsia="仿宋_GB2312" w:cs="仿宋_GB2312"/>
          <w:sz w:val="32"/>
          <w:szCs w:val="32"/>
          <w:lang w:val="en-US" w:eastAsia="zh-CN"/>
        </w:rPr>
        <w:t>《项目支出决算明细表》中列支“工资福利支出”和“对个人和家庭的补助”情况:医疗费为及自治区转移支付体检费；对个人和家庭的补助为三支一扶工资、新冠疫情防控临时性工作补助等。</w:t>
      </w:r>
    </w:p>
    <w:p w14:paraId="70F0BA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bCs/>
          <w:color w:val="000000"/>
          <w:sz w:val="32"/>
          <w:szCs w:val="32"/>
          <w:lang w:val="en-US" w:eastAsia="zh-CN"/>
        </w:rPr>
      </w:pPr>
      <w:r>
        <w:rPr>
          <w:rFonts w:hint="eastAsia" w:ascii="方正小标宋简体" w:hAnsi="方正小标宋简体" w:eastAsia="方正小标宋简体" w:cs="方正小标宋简体"/>
          <w:b/>
          <w:bCs/>
          <w:color w:val="000000"/>
          <w:sz w:val="32"/>
          <w:szCs w:val="32"/>
          <w:lang w:eastAsia="zh-CN"/>
        </w:rPr>
        <w:t>第四部分</w:t>
      </w:r>
      <w:r>
        <w:rPr>
          <w:rFonts w:hint="eastAsia" w:ascii="方正小标宋简体" w:hAnsi="方正小标宋简体" w:eastAsia="方正小标宋简体" w:cs="方正小标宋简体"/>
          <w:b/>
          <w:bCs/>
          <w:color w:val="000000"/>
          <w:sz w:val="32"/>
          <w:szCs w:val="32"/>
          <w:lang w:val="en-US" w:eastAsia="zh-CN"/>
        </w:rPr>
        <w:t xml:space="preserve"> 名词解释</w:t>
      </w:r>
    </w:p>
    <w:p w14:paraId="1AE9CD7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1.卫生健康支出（妇幼保健机构）：反映卫生健康部门所  属妇幼保健机构的支出。</w:t>
      </w:r>
    </w:p>
    <w:p w14:paraId="0FF85B6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2.社会保障就业支出：反映政府在社会保障与就业方面的支出。</w:t>
      </w:r>
    </w:p>
    <w:p w14:paraId="48C841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3.购房补贴：反映按房改政策规定，行政事业单位向符条件的职工（含离退休人员）、军队（含武警）向转业复员离退休人员发放的用于购买住房的补贴。</w:t>
      </w:r>
    </w:p>
    <w:p w14:paraId="4BD5EEB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4.重大公共卫生服务：反映重大疾病、重大传染病预防控制等重大公共卫生服务项目支出。</w:t>
      </w:r>
    </w:p>
    <w:p w14:paraId="58B0321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5.其他行政事业单位医疗支出：反映除上述项目以外的其他用于行政事业单位医疗方面的支出。</w:t>
      </w:r>
    </w:p>
    <w:p w14:paraId="1CF3C890">
      <w:pPr>
        <w:pStyle w:val="4"/>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1FFA5"/>
    <w:multiLevelType w:val="singleLevel"/>
    <w:tmpl w:val="A861FFA5"/>
    <w:lvl w:ilvl="0" w:tentative="0">
      <w:start w:val="2"/>
      <w:numFmt w:val="chineseCounting"/>
      <w:suff w:val="nothing"/>
      <w:lvlText w:val="（%1）"/>
      <w:lvlJc w:val="left"/>
      <w:rPr>
        <w:rFonts w:hint="eastAsia"/>
      </w:rPr>
    </w:lvl>
  </w:abstractNum>
  <w:abstractNum w:abstractNumId="1">
    <w:nsid w:val="B1A3D86F"/>
    <w:multiLevelType w:val="singleLevel"/>
    <w:tmpl w:val="B1A3D86F"/>
    <w:lvl w:ilvl="0" w:tentative="0">
      <w:start w:val="1"/>
      <w:numFmt w:val="chineseCounting"/>
      <w:suff w:val="space"/>
      <w:lvlText w:val="第%1部分"/>
      <w:lvlJc w:val="left"/>
      <w:rPr>
        <w:rFonts w:hint="eastAsia"/>
      </w:rPr>
    </w:lvl>
  </w:abstractNum>
  <w:abstractNum w:abstractNumId="2">
    <w:nsid w:val="CC1DB0EA"/>
    <w:multiLevelType w:val="singleLevel"/>
    <w:tmpl w:val="CC1DB0EA"/>
    <w:lvl w:ilvl="0" w:tentative="0">
      <w:start w:val="1"/>
      <w:numFmt w:val="chineseCounting"/>
      <w:suff w:val="space"/>
      <w:lvlText w:val="第%1部分"/>
      <w:lvlJc w:val="left"/>
      <w:rPr>
        <w:rFonts w:hint="eastAsia"/>
      </w:rPr>
    </w:lvl>
  </w:abstractNum>
  <w:abstractNum w:abstractNumId="3">
    <w:nsid w:val="E269BED1"/>
    <w:multiLevelType w:val="singleLevel"/>
    <w:tmpl w:val="E269BED1"/>
    <w:lvl w:ilvl="0" w:tentative="0">
      <w:start w:val="1"/>
      <w:numFmt w:val="decimal"/>
      <w:suff w:val="nothing"/>
      <w:lvlText w:val="（%1）"/>
      <w:lvlJc w:val="left"/>
    </w:lvl>
  </w:abstractNum>
  <w:abstractNum w:abstractNumId="4">
    <w:nsid w:val="EBB0D845"/>
    <w:multiLevelType w:val="singleLevel"/>
    <w:tmpl w:val="EBB0D845"/>
    <w:lvl w:ilvl="0" w:tentative="0">
      <w:start w:val="2"/>
      <w:numFmt w:val="decimal"/>
      <w:suff w:val="nothing"/>
      <w:lvlText w:val="（%1）"/>
      <w:lvlJc w:val="left"/>
    </w:lvl>
  </w:abstractNum>
  <w:abstractNum w:abstractNumId="5">
    <w:nsid w:val="F7D46558"/>
    <w:multiLevelType w:val="singleLevel"/>
    <w:tmpl w:val="F7D46558"/>
    <w:lvl w:ilvl="0" w:tentative="0">
      <w:start w:val="1"/>
      <w:numFmt w:val="decimal"/>
      <w:lvlText w:val="%1."/>
      <w:lvlJc w:val="left"/>
      <w:pPr>
        <w:tabs>
          <w:tab w:val="left" w:pos="312"/>
        </w:tabs>
      </w:pPr>
    </w:lvl>
  </w:abstractNum>
  <w:abstractNum w:abstractNumId="6">
    <w:nsid w:val="0A6BD1B3"/>
    <w:multiLevelType w:val="singleLevel"/>
    <w:tmpl w:val="0A6BD1B3"/>
    <w:lvl w:ilvl="0" w:tentative="0">
      <w:start w:val="1"/>
      <w:numFmt w:val="chineseCounting"/>
      <w:suff w:val="space"/>
      <w:lvlText w:val="第%1部分"/>
      <w:lvlJc w:val="left"/>
      <w:rPr>
        <w:rFonts w:hint="eastAsia"/>
      </w:rPr>
    </w:lvl>
  </w:abstractNum>
  <w:abstractNum w:abstractNumId="7">
    <w:nsid w:val="2C8DF767"/>
    <w:multiLevelType w:val="singleLevel"/>
    <w:tmpl w:val="2C8DF767"/>
    <w:lvl w:ilvl="0" w:tentative="0">
      <w:start w:val="1"/>
      <w:numFmt w:val="decimal"/>
      <w:suff w:val="nothing"/>
      <w:lvlText w:val="（%1）"/>
      <w:lvlJc w:val="left"/>
    </w:lvl>
  </w:abstractNum>
  <w:abstractNum w:abstractNumId="8">
    <w:nsid w:val="5509184F"/>
    <w:multiLevelType w:val="singleLevel"/>
    <w:tmpl w:val="5509184F"/>
    <w:lvl w:ilvl="0" w:tentative="0">
      <w:start w:val="3"/>
      <w:numFmt w:val="decimal"/>
      <w:lvlText w:val="%1."/>
      <w:lvlJc w:val="left"/>
      <w:pPr>
        <w:tabs>
          <w:tab w:val="left" w:pos="312"/>
        </w:tabs>
      </w:pPr>
    </w:lvl>
  </w:abstractNum>
  <w:abstractNum w:abstractNumId="9">
    <w:nsid w:val="56C722A3"/>
    <w:multiLevelType w:val="singleLevel"/>
    <w:tmpl w:val="56C722A3"/>
    <w:lvl w:ilvl="0" w:tentative="0">
      <w:start w:val="8"/>
      <w:numFmt w:val="chineseCounting"/>
      <w:suff w:val="nothing"/>
      <w:lvlText w:val="（%1）"/>
      <w:lvlJc w:val="left"/>
      <w:rPr>
        <w:rFonts w:hint="eastAsia"/>
      </w:rPr>
    </w:lvl>
  </w:abstractNum>
  <w:abstractNum w:abstractNumId="10">
    <w:nsid w:val="70BB7ADD"/>
    <w:multiLevelType w:val="singleLevel"/>
    <w:tmpl w:val="70BB7ADD"/>
    <w:lvl w:ilvl="0" w:tentative="0">
      <w:start w:val="1"/>
      <w:numFmt w:val="decimal"/>
      <w:lvlText w:val="%1."/>
      <w:lvlJc w:val="left"/>
      <w:pPr>
        <w:tabs>
          <w:tab w:val="left" w:pos="312"/>
        </w:tabs>
      </w:pPr>
    </w:lvl>
  </w:abstractNum>
  <w:abstractNum w:abstractNumId="11">
    <w:nsid w:val="7A1D6B57"/>
    <w:multiLevelType w:val="singleLevel"/>
    <w:tmpl w:val="7A1D6B57"/>
    <w:lvl w:ilvl="0" w:tentative="0">
      <w:start w:val="3"/>
      <w:numFmt w:val="chineseCounting"/>
      <w:suff w:val="nothing"/>
      <w:lvlText w:val="%1、"/>
      <w:lvlJc w:val="left"/>
      <w:rPr>
        <w:rFonts w:hint="eastAsia"/>
      </w:rPr>
    </w:lvl>
  </w:abstractNum>
  <w:num w:numId="1">
    <w:abstractNumId w:val="5"/>
  </w:num>
  <w:num w:numId="2">
    <w:abstractNumId w:val="8"/>
  </w:num>
  <w:num w:numId="3">
    <w:abstractNumId w:val="1"/>
  </w:num>
  <w:num w:numId="4">
    <w:abstractNumId w:val="4"/>
  </w:num>
  <w:num w:numId="5">
    <w:abstractNumId w:val="3"/>
  </w:num>
  <w:num w:numId="6">
    <w:abstractNumId w:val="10"/>
  </w:num>
  <w:num w:numId="7">
    <w:abstractNumId w:val="7"/>
  </w:num>
  <w:num w:numId="8">
    <w:abstractNumId w:val="0"/>
  </w:num>
  <w:num w:numId="9">
    <w:abstractNumId w:val="6"/>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MWFjY2UxNjM3MWViYjIxZjdhNDUyYjM3NTU5MGEifQ=="/>
  </w:docVars>
  <w:rsids>
    <w:rsidRoot w:val="00000000"/>
    <w:rsid w:val="007C5428"/>
    <w:rsid w:val="01FC1693"/>
    <w:rsid w:val="03AE1683"/>
    <w:rsid w:val="03FA4C6A"/>
    <w:rsid w:val="0C7F096B"/>
    <w:rsid w:val="0DBB3E53"/>
    <w:rsid w:val="108D31D1"/>
    <w:rsid w:val="152F52FC"/>
    <w:rsid w:val="177C0458"/>
    <w:rsid w:val="1A8B0BDD"/>
    <w:rsid w:val="1AED5579"/>
    <w:rsid w:val="1BCF52AA"/>
    <w:rsid w:val="1CE133DE"/>
    <w:rsid w:val="22EC1692"/>
    <w:rsid w:val="23BF2545"/>
    <w:rsid w:val="2843476A"/>
    <w:rsid w:val="2BB45A5A"/>
    <w:rsid w:val="30C47C33"/>
    <w:rsid w:val="31BA650C"/>
    <w:rsid w:val="33F21E58"/>
    <w:rsid w:val="388F5CF7"/>
    <w:rsid w:val="39507A38"/>
    <w:rsid w:val="3D532786"/>
    <w:rsid w:val="3FC62600"/>
    <w:rsid w:val="4308557B"/>
    <w:rsid w:val="447755E6"/>
    <w:rsid w:val="44CA67C5"/>
    <w:rsid w:val="45734469"/>
    <w:rsid w:val="46674F6E"/>
    <w:rsid w:val="4973570A"/>
    <w:rsid w:val="4A546DAC"/>
    <w:rsid w:val="4B112EC6"/>
    <w:rsid w:val="4B67348B"/>
    <w:rsid w:val="4BD61AC3"/>
    <w:rsid w:val="4E0D0817"/>
    <w:rsid w:val="4F743166"/>
    <w:rsid w:val="5275608F"/>
    <w:rsid w:val="539B6256"/>
    <w:rsid w:val="54375FC2"/>
    <w:rsid w:val="565229D5"/>
    <w:rsid w:val="5C157109"/>
    <w:rsid w:val="5CF95D9C"/>
    <w:rsid w:val="62474132"/>
    <w:rsid w:val="642145BC"/>
    <w:rsid w:val="648E6E6D"/>
    <w:rsid w:val="65EE13FF"/>
    <w:rsid w:val="784A5289"/>
    <w:rsid w:val="7A3235D6"/>
    <w:rsid w:val="7BF0340C"/>
    <w:rsid w:val="7E37097B"/>
    <w:rsid w:val="7F1E3497"/>
    <w:rsid w:val="7FD26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kern w:val="2"/>
      <w:sz w:val="32"/>
      <w:szCs w:val="32"/>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4">
    <w:name w:val="Salutation"/>
    <w:basedOn w:val="1"/>
    <w:next w:val="1"/>
    <w:unhideWhenUsed/>
    <w:qFormat/>
    <w:uiPriority w:val="99"/>
  </w:style>
  <w:style w:type="paragraph" w:styleId="5">
    <w:name w:val="Body Text Indent"/>
    <w:basedOn w:val="1"/>
    <w:next w:val="6"/>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footer"/>
    <w:basedOn w:val="1"/>
    <w:next w:val="1"/>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5"/>
    <w:next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p18"/>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5919;&#36164;&#26009;\&#22269;&#24211;&#31185;\&#37096;&#38376;&#20915;&#31639;\2023&#24180;&#24230;\&#22352;&#26631;&#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5919;&#36164;&#26009;\&#22269;&#24211;&#31185;\&#37096;&#38376;&#20915;&#31639;\2023&#24180;&#24230;\&#22352;&#26631;&#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5919;&#36164;&#26009;\&#22269;&#24211;&#31185;\&#37096;&#38376;&#20915;&#31639;\2023&#24180;&#24230;\&#22352;&#26631;&#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预算安排情况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40026714158504"/>
          <c:y val="0.0164370695053225"/>
        </c:manualLayout>
      </c:layout>
      <c:overlay val="0"/>
      <c:spPr>
        <a:noFill/>
        <a:ln>
          <a:noFill/>
        </a:ln>
        <a:effectLst/>
      </c:spPr>
    </c:title>
    <c:autoTitleDeleted val="0"/>
    <c:plotArea>
      <c:layout>
        <c:manualLayout>
          <c:layoutTarget val="inner"/>
          <c:xMode val="edge"/>
          <c:yMode val="edge"/>
          <c:x val="0.206240683692736"/>
          <c:y val="0.158162185051874"/>
          <c:w val="0.771897048593859"/>
          <c:h val="0.454245183146305"/>
        </c:manualLayout>
      </c:layout>
      <c:barChart>
        <c:barDir val="col"/>
        <c:grouping val="clustered"/>
        <c:varyColors val="0"/>
        <c:ser>
          <c:idx val="0"/>
          <c:order val="0"/>
          <c:tx>
            <c:strRef>
              <c:f>[坐标图.xls]预算!$A$2</c:f>
              <c:strCache>
                <c:ptCount val="1"/>
                <c:pt idx="0">
                  <c:v>2023年</c:v>
                </c:pt>
              </c:strCache>
            </c:strRef>
          </c:tx>
          <c:spPr>
            <a:solidFill>
              <a:schemeClr val="accent1"/>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[坐标图.xls]预算!$B$2:$F$2</c:f>
              <c:numCache>
                <c:formatCode>General</c:formatCode>
                <c:ptCount val="5"/>
                <c:pt idx="0">
                  <c:v>1352.89</c:v>
                </c:pt>
                <c:pt idx="1">
                  <c:v>79.97</c:v>
                </c:pt>
                <c:pt idx="3">
                  <c:v>321.96</c:v>
                </c:pt>
                <c:pt idx="4">
                  <c:v>1754.82</c:v>
                </c:pt>
              </c:numCache>
            </c:numRef>
          </c:val>
        </c:ser>
        <c:ser>
          <c:idx val="1"/>
          <c:order val="1"/>
          <c:tx>
            <c:strRef>
              <c:f>[坐标图.xls]预算!$A$3</c:f>
              <c:strCache>
                <c:ptCount val="1"/>
                <c:pt idx="0">
                  <c:v>2022年</c:v>
                </c:pt>
              </c:strCache>
            </c:strRef>
          </c:tx>
          <c:spPr>
            <a:solidFill>
              <a:schemeClr val="accent2"/>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[坐标图.xls]预算!$B$3:$F$3</c:f>
              <c:numCache>
                <c:formatCode>General</c:formatCode>
                <c:ptCount val="5"/>
                <c:pt idx="0">
                  <c:v>1438.72</c:v>
                </c:pt>
                <c:pt idx="1">
                  <c:v>110</c:v>
                </c:pt>
                <c:pt idx="4">
                  <c:v>1548.72</c:v>
                </c:pt>
              </c:numCache>
            </c:numRef>
          </c:val>
        </c:ser>
        <c:ser>
          <c:idx val="2"/>
          <c:order val="2"/>
          <c:tx>
            <c:strRef>
              <c:f>[坐标图.xls]预算!$A$4</c:f>
              <c:strCache>
                <c:ptCount val="1"/>
                <c:pt idx="0">
                  <c:v>增减（万元）</c:v>
                </c:pt>
              </c:strCache>
            </c:strRef>
          </c:tx>
          <c:spPr>
            <a:solidFill>
              <a:schemeClr val="accent3"/>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[坐标图.xls]预算!$B$4:$F$4</c:f>
              <c:numCache>
                <c:formatCode>General</c:formatCode>
                <c:ptCount val="5"/>
                <c:pt idx="0">
                  <c:v>-85.8299999999999</c:v>
                </c:pt>
                <c:pt idx="1">
                  <c:v>-30.03</c:v>
                </c:pt>
                <c:pt idx="2">
                  <c:v>0</c:v>
                </c:pt>
                <c:pt idx="3">
                  <c:v>321.96</c:v>
                </c:pt>
                <c:pt idx="4">
                  <c:v>206.1</c:v>
                </c:pt>
              </c:numCache>
            </c:numRef>
          </c:val>
        </c:ser>
        <c:ser>
          <c:idx val="3"/>
          <c:order val="3"/>
          <c:tx>
            <c:strRef>
              <c:f>[坐标图.xls]预算!$A$5</c:f>
              <c:strCache>
                <c:ptCount val="1"/>
                <c:pt idx="0">
                  <c:v>增减比重（%）</c:v>
                </c:pt>
              </c:strCache>
            </c:strRef>
          </c:tx>
          <c:spPr>
            <a:solidFill>
              <a:schemeClr val="accent4"/>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[坐标图.xls]预算!$B$5:$F$5</c:f>
              <c:numCache>
                <c:formatCode>0%</c:formatCode>
                <c:ptCount val="5"/>
                <c:pt idx="0">
                  <c:v>-0.0596571952846975</c:v>
                </c:pt>
                <c:pt idx="1">
                  <c:v>-0.273</c:v>
                </c:pt>
                <c:pt idx="2">
                  <c:v>0</c:v>
                </c:pt>
                <c:pt idx="3">
                  <c:v>1</c:v>
                </c:pt>
                <c:pt idx="4">
                  <c:v>0.133077638307764</c:v>
                </c:pt>
              </c:numCache>
            </c:numRef>
          </c:val>
        </c:ser>
        <c:dLbls>
          <c:showLegendKey val="0"/>
          <c:showVal val="0"/>
          <c:showCatName val="0"/>
          <c:showSerName val="0"/>
          <c:showPercent val="0"/>
          <c:showBubbleSize val="0"/>
        </c:dLbls>
        <c:gapWidth val="150"/>
        <c:overlap val="0"/>
        <c:axId val="550930249"/>
        <c:axId val="416359701"/>
      </c:barChart>
      <c:catAx>
        <c:axId val="55093024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359701"/>
        <c:crosses val="autoZero"/>
        <c:auto val="1"/>
        <c:lblAlgn val="ctr"/>
        <c:lblOffset val="100"/>
        <c:noMultiLvlLbl val="0"/>
      </c:catAx>
      <c:valAx>
        <c:axId val="41635970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930249"/>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7a1dad29-bd19-4828-87aa-0add40152b2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61452698973397"/>
          <c:y val="0.00787194961952243"/>
        </c:manualLayout>
      </c:layout>
      <c:overlay val="0"/>
      <c:spPr>
        <a:solidFill>
          <a:schemeClr val="bg1"/>
        </a:solidFill>
        <a:ln>
          <a:solidFill>
            <a:schemeClr val="accent1"/>
          </a:solidFill>
        </a:ln>
        <a:effectLst/>
      </c:spPr>
    </c:title>
    <c:autoTitleDeleted val="0"/>
    <c:plotArea>
      <c:layout>
        <c:manualLayout>
          <c:layoutTarget val="inner"/>
          <c:xMode val="edge"/>
          <c:yMode val="edge"/>
          <c:x val="0.121470360966994"/>
          <c:y val="0.198635528732616"/>
          <c:w val="0.800596092283917"/>
          <c:h val="0.451272631855156"/>
        </c:manualLayout>
      </c:layout>
      <c:barChart>
        <c:barDir val="col"/>
        <c:grouping val="clustered"/>
        <c:varyColors val="0"/>
        <c:ser>
          <c:idx val="0"/>
          <c:order val="0"/>
          <c:tx>
            <c:strRef>
              <c:f>[坐标图.xls]收入!$B$5</c:f>
              <c:strCache>
                <c:ptCount val="1"/>
                <c:pt idx="0">
                  <c:v>财政收入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[坐标图.xls]收入!$A$6:$A$9</c:f>
              <c:strCache>
                <c:ptCount val="4"/>
                <c:pt idx="0">
                  <c:v>2023年收入（万元）</c:v>
                </c:pt>
                <c:pt idx="1">
                  <c:v>2022年收入（万元）</c:v>
                </c:pt>
                <c:pt idx="2">
                  <c:v>增减（万元）</c:v>
                </c:pt>
                <c:pt idx="3">
                  <c:v>增减比重（%）</c:v>
                </c:pt>
              </c:strCache>
            </c:strRef>
          </c:cat>
          <c:val>
            <c:numRef>
              <c:f>[坐标图.xls]收入!$B$6:$B$9</c:f>
              <c:numCache>
                <c:formatCode>General</c:formatCode>
                <c:ptCount val="4"/>
                <c:pt idx="0">
                  <c:v>6466.46</c:v>
                </c:pt>
                <c:pt idx="1">
                  <c:v>4616.52</c:v>
                </c:pt>
                <c:pt idx="2">
                  <c:v>1849.94</c:v>
                </c:pt>
                <c:pt idx="3" c:formatCode="0%">
                  <c:v>0.400721755781411</c:v>
                </c:pt>
              </c:numCache>
            </c:numRef>
          </c:val>
        </c:ser>
        <c:ser>
          <c:idx val="1"/>
          <c:order val="1"/>
          <c:tx>
            <c:strRef>
              <c:f>[坐标图.xls]收入!$C$5</c:f>
              <c:strCache>
                <c:ptCount val="1"/>
                <c:pt idx="0">
                  <c:v>其他收入</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[坐标图.xls]收入!$A$6:$A$9</c:f>
              <c:strCache>
                <c:ptCount val="4"/>
                <c:pt idx="0">
                  <c:v>2023年收入（万元）</c:v>
                </c:pt>
                <c:pt idx="1">
                  <c:v>2022年收入（万元）</c:v>
                </c:pt>
                <c:pt idx="2">
                  <c:v>增减（万元）</c:v>
                </c:pt>
                <c:pt idx="3">
                  <c:v>增减比重（%）</c:v>
                </c:pt>
              </c:strCache>
            </c:strRef>
          </c:cat>
          <c:val>
            <c:numRef>
              <c:f>[坐标图.xls]收入!$C$6:$C$9</c:f>
              <c:numCache>
                <c:formatCode>General</c:formatCode>
                <c:ptCount val="4"/>
                <c:pt idx="0">
                  <c:v>120</c:v>
                </c:pt>
                <c:pt idx="1">
                  <c:v>216</c:v>
                </c:pt>
                <c:pt idx="2">
                  <c:v>-96</c:v>
                </c:pt>
                <c:pt idx="3" c:formatCode="0%">
                  <c:v>-0.444444444444444</c:v>
                </c:pt>
              </c:numCache>
            </c:numRef>
          </c:val>
        </c:ser>
        <c:ser>
          <c:idx val="2"/>
          <c:order val="2"/>
          <c:tx>
            <c:strRef>
              <c:f>[坐标图.xls]收入!$D$5</c:f>
              <c:strCache>
                <c:ptCount val="1"/>
                <c:pt idx="0">
                  <c:v>本年收入</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[坐标图.xls]收入!$A$6:$A$9</c:f>
              <c:strCache>
                <c:ptCount val="4"/>
                <c:pt idx="0">
                  <c:v>2023年收入（万元）</c:v>
                </c:pt>
                <c:pt idx="1">
                  <c:v>2022年收入（万元）</c:v>
                </c:pt>
                <c:pt idx="2">
                  <c:v>增减（万元）</c:v>
                </c:pt>
                <c:pt idx="3">
                  <c:v>增减比重（%）</c:v>
                </c:pt>
              </c:strCache>
            </c:strRef>
          </c:cat>
          <c:val>
            <c:numRef>
              <c:f>[坐标图.xls]收入!$D$6:$D$9</c:f>
              <c:numCache>
                <c:formatCode>General</c:formatCode>
                <c:ptCount val="4"/>
                <c:pt idx="0">
                  <c:v>6586.46</c:v>
                </c:pt>
                <c:pt idx="1">
                  <c:v>4832.52</c:v>
                </c:pt>
                <c:pt idx="2">
                  <c:v>1753.94</c:v>
                </c:pt>
                <c:pt idx="3" c:formatCode="0%">
                  <c:v>0.36294521284961</c:v>
                </c:pt>
              </c:numCache>
            </c:numRef>
          </c:val>
        </c:ser>
        <c:dLbls>
          <c:showLegendKey val="0"/>
          <c:showVal val="0"/>
          <c:showCatName val="0"/>
          <c:showSerName val="0"/>
          <c:showPercent val="0"/>
          <c:showBubbleSize val="0"/>
        </c:dLbls>
        <c:gapWidth val="150"/>
        <c:overlap val="0"/>
        <c:axId val="845626462"/>
        <c:axId val="146205799"/>
      </c:barChart>
      <c:catAx>
        <c:axId val="8456264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205799"/>
        <c:crosses val="autoZero"/>
        <c:auto val="1"/>
        <c:lblAlgn val="ctr"/>
        <c:lblOffset val="100"/>
        <c:noMultiLvlLbl val="0"/>
      </c:catAx>
      <c:valAx>
        <c:axId val="14620579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62646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f7403d15-d235-478c-8f83-74ac2706e331}"/>
      </c:ext>
    </c:extLst>
  </c:chart>
  <c:spPr>
    <a:solidFill>
      <a:schemeClr val="accent4">
        <a:lumMod val="20000"/>
        <a:lumOff val="80000"/>
      </a:schemeClr>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部门支出情况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[坐标图.xls]Sheet1!$C$27:$C$29</c:f>
              <c:strCache>
                <c:ptCount val="1"/>
                <c:pt idx="0">
                  <c:v>2022年度</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[坐标图.xls]Sheet1!$B$30:$B$33</c:f>
              <c:strCache>
                <c:ptCount val="4"/>
                <c:pt idx="0">
                  <c:v>基本支出</c:v>
                </c:pt>
                <c:pt idx="1">
                  <c:v>项目支出</c:v>
                </c:pt>
                <c:pt idx="2">
                  <c:v>其中：援藏项目</c:v>
                </c:pt>
                <c:pt idx="3">
                  <c:v>总支出</c:v>
                </c:pt>
              </c:strCache>
            </c:strRef>
          </c:cat>
          <c:val>
            <c:numRef>
              <c:f>[坐标图.xls]Sheet1!$C$30:$C$33</c:f>
              <c:numCache>
                <c:formatCode>General</c:formatCode>
                <c:ptCount val="4"/>
                <c:pt idx="0">
                  <c:v>1559.76</c:v>
                </c:pt>
                <c:pt idx="1">
                  <c:v>3853.3</c:v>
                </c:pt>
                <c:pt idx="2">
                  <c:v>180.08</c:v>
                </c:pt>
                <c:pt idx="3">
                  <c:v>5413.06</c:v>
                </c:pt>
              </c:numCache>
            </c:numRef>
          </c:val>
        </c:ser>
        <c:ser>
          <c:idx val="1"/>
          <c:order val="1"/>
          <c:tx>
            <c:strRef>
              <c:f>[坐标图.xls]Sheet1!$D$27:$D$29</c:f>
              <c:strCache>
                <c:ptCount val="1"/>
                <c:pt idx="0">
                  <c:v>2023年度</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chemeClr val="accent2"/>
                </a:solidFill>
                <a:prstDash val="sysDot"/>
                <a:round/>
              </a:ln>
              <a:effectLst/>
            </c:spPr>
            <c:trendlineType val="exp"/>
            <c:forward val="0"/>
            <c:backward val="0"/>
            <c:dispRSqr val="0"/>
            <c:dispEq val="0"/>
          </c:trendline>
          <c:cat>
            <c:strRef>
              <c:f>[坐标图.xls]Sheet1!$B$30:$B$33</c:f>
              <c:strCache>
                <c:ptCount val="4"/>
                <c:pt idx="0">
                  <c:v>基本支出</c:v>
                </c:pt>
                <c:pt idx="1">
                  <c:v>项目支出</c:v>
                </c:pt>
                <c:pt idx="2">
                  <c:v>其中：援藏项目</c:v>
                </c:pt>
                <c:pt idx="3">
                  <c:v>总支出</c:v>
                </c:pt>
              </c:strCache>
            </c:strRef>
          </c:cat>
          <c:val>
            <c:numRef>
              <c:f>[坐标图.xls]Sheet1!$D$30:$D$33</c:f>
              <c:numCache>
                <c:formatCode>General</c:formatCode>
                <c:ptCount val="4"/>
                <c:pt idx="0">
                  <c:v>1518.97</c:v>
                </c:pt>
                <c:pt idx="1">
                  <c:v>5852.77</c:v>
                </c:pt>
                <c:pt idx="2">
                  <c:v>51.47</c:v>
                </c:pt>
                <c:pt idx="3">
                  <c:v>7371.74</c:v>
                </c:pt>
              </c:numCache>
            </c:numRef>
          </c:val>
        </c:ser>
        <c:dLbls>
          <c:showLegendKey val="0"/>
          <c:showVal val="0"/>
          <c:showCatName val="0"/>
          <c:showSerName val="0"/>
          <c:showPercent val="0"/>
          <c:showBubbleSize val="0"/>
        </c:dLbls>
        <c:gapWidth val="150"/>
        <c:overlap val="0"/>
        <c:axId val="114749708"/>
        <c:axId val="732896765"/>
      </c:barChart>
      <c:lineChart>
        <c:grouping val="standard"/>
        <c:varyColors val="0"/>
        <c:ser>
          <c:idx val="2"/>
          <c:order val="2"/>
          <c:tx>
            <c:strRef>
              <c:f>[坐标图.xls]Sheet1!$E$27:$E$29</c:f>
              <c:strCache>
                <c:ptCount val="1"/>
                <c:pt idx="0">
                  <c:v>增幅比重</c:v>
                </c:pt>
              </c:strCache>
            </c:strRef>
          </c:tx>
          <c:spPr>
            <a:ln w="28575" cap="rnd" cmpd="sng" algn="ctr">
              <a:solidFill>
                <a:schemeClr val="accent3"/>
              </a:solidFill>
              <a:prstDash val="solid"/>
              <a:round/>
            </a:ln>
            <a:effectLst/>
          </c:spPr>
          <c:marker>
            <c:symbol val="none"/>
          </c:marker>
          <c:dLbls>
            <c:dLbl>
              <c:idx val="0"/>
              <c:layout>
                <c:manualLayout>
                  <c:x val="0.00699300699300699"/>
                  <c:y val="0.036253776435045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7972027972028"/>
                  <c:y val="0.030211480362537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99300699300699"/>
                  <c:y val="0.045317220543806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[坐标图.xls]Sheet1!$B$30:$B$33</c:f>
              <c:strCache>
                <c:ptCount val="4"/>
                <c:pt idx="0">
                  <c:v>基本支出</c:v>
                </c:pt>
                <c:pt idx="1">
                  <c:v>项目支出</c:v>
                </c:pt>
                <c:pt idx="2">
                  <c:v>其中：援藏项目</c:v>
                </c:pt>
                <c:pt idx="3">
                  <c:v>总支出</c:v>
                </c:pt>
              </c:strCache>
            </c:strRef>
          </c:cat>
          <c:val>
            <c:numRef>
              <c:f>[坐标图.xls]Sheet1!$E$30:$E$33</c:f>
              <c:numCache>
                <c:formatCode>0.00%</c:formatCode>
                <c:ptCount val="4"/>
                <c:pt idx="0">
                  <c:v>-0.0261514591988511</c:v>
                </c:pt>
                <c:pt idx="1">
                  <c:v>0.518898087353697</c:v>
                </c:pt>
                <c:pt idx="2">
                  <c:v>-0.714182585517548</c:v>
                </c:pt>
                <c:pt idx="3">
                  <c:v>0.361843393570365</c:v>
                </c:pt>
              </c:numCache>
            </c:numRef>
          </c:val>
          <c:smooth val="0"/>
        </c:ser>
        <c:dLbls>
          <c:showLegendKey val="0"/>
          <c:showVal val="0"/>
          <c:showCatName val="0"/>
          <c:showSerName val="0"/>
          <c:showPercent val="0"/>
          <c:showBubbleSize val="0"/>
        </c:dLbls>
        <c:marker val="0"/>
        <c:smooth val="0"/>
        <c:axId val="114749708"/>
        <c:axId val="732896765"/>
      </c:lineChart>
      <c:catAx>
        <c:axId val="1147497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2896765"/>
        <c:crosses val="autoZero"/>
        <c:auto val="1"/>
        <c:lblAlgn val="ctr"/>
        <c:lblOffset val="100"/>
        <c:noMultiLvlLbl val="0"/>
      </c:catAx>
      <c:valAx>
        <c:axId val="73289676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474970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241dd789-f1f9-45e4-a0da-69bf7565d5f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8128</Words>
  <Characters>8687</Characters>
  <Lines>0</Lines>
  <Paragraphs>0</Paragraphs>
  <TotalTime>4</TotalTime>
  <ScaleCrop>false</ScaleCrop>
  <LinksUpToDate>false</LinksUpToDate>
  <CharactersWithSpaces>8692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2024-01-18T09:11:00Z</dcterms:created>
  <dc:creator>Administrator</dc:creator>
  <cp:lastModifiedBy>罗利攀</cp:lastModifiedBy>
  <dcterms:modified xsi:type="dcterms:W3CDTF">2024-11-14T02:57:38Z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184EEA2BF2B44E10BF083AC200C8EBAA</vt:lpwstr>
  </property>
</Properties>
</file>