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B4AF7">
      <w:pPr>
        <w:widowControl/>
        <w:shd w:val="clear" w:color="auto" w:fill="FFFFFF"/>
        <w:spacing w:line="432" w:lineRule="atLeast"/>
        <w:jc w:val="center"/>
        <w:outlineLvl w:val="0"/>
        <w:rPr>
          <w:rFonts w:ascii="黑体" w:hAnsi="黑体" w:eastAsia="黑体" w:cs="Arial"/>
          <w:color w:val="333333"/>
          <w:spacing w:val="-15"/>
          <w:kern w:val="36"/>
          <w:sz w:val="48"/>
          <w:szCs w:val="48"/>
        </w:rPr>
      </w:pPr>
      <w:bookmarkStart w:id="0" w:name="_Toc224486452"/>
      <w:bookmarkStart w:id="1" w:name="_Toc235857843"/>
      <w:bookmarkStart w:id="2" w:name="_Toc224128895"/>
      <w:bookmarkStart w:id="3" w:name="_Toc225367664"/>
      <w:bookmarkStart w:id="4" w:name="_Toc225259767"/>
      <w:bookmarkStart w:id="5" w:name="_Toc225259838"/>
      <w:bookmarkStart w:id="6" w:name="_Toc224678026"/>
      <w:bookmarkStart w:id="7" w:name="_Toc229475462"/>
      <w:bookmarkStart w:id="8" w:name="_Toc224722531"/>
      <w:bookmarkStart w:id="9" w:name="_Toc224128828"/>
      <w:bookmarkStart w:id="10" w:name="_Toc232672282"/>
      <w:bookmarkStart w:id="11" w:name="_Toc229172714"/>
      <w:bookmarkStart w:id="12" w:name="_Toc225260010"/>
      <w:bookmarkStart w:id="13" w:name="_Toc235476196"/>
    </w:p>
    <w:p w14:paraId="42F0D022">
      <w:pPr>
        <w:widowControl/>
        <w:shd w:val="clear" w:color="auto" w:fill="FFFFFF"/>
        <w:spacing w:line="432" w:lineRule="atLeast"/>
        <w:jc w:val="center"/>
        <w:outlineLvl w:val="0"/>
        <w:rPr>
          <w:rFonts w:ascii="黑体" w:hAnsi="黑体" w:eastAsia="黑体" w:cs="Arial"/>
          <w:color w:val="333333"/>
          <w:spacing w:val="-15"/>
          <w:kern w:val="36"/>
          <w:sz w:val="48"/>
          <w:szCs w:val="48"/>
        </w:rPr>
      </w:pPr>
    </w:p>
    <w:p w14:paraId="6B13EBB3">
      <w:pPr>
        <w:widowControl/>
        <w:shd w:val="clear" w:color="auto" w:fill="FFFFFF"/>
        <w:spacing w:line="432" w:lineRule="atLeast"/>
        <w:jc w:val="center"/>
        <w:outlineLvl w:val="0"/>
        <w:rPr>
          <w:rFonts w:ascii="黑体" w:hAnsi="黑体" w:eastAsia="黑体" w:cs="Arial"/>
          <w:color w:val="333333"/>
          <w:spacing w:val="-15"/>
          <w:kern w:val="36"/>
          <w:sz w:val="48"/>
          <w:szCs w:val="48"/>
        </w:rPr>
      </w:pPr>
    </w:p>
    <w:p w14:paraId="573C0EB7">
      <w:pPr>
        <w:widowControl/>
        <w:shd w:val="clear" w:color="auto" w:fill="FFFFFF"/>
        <w:spacing w:line="432" w:lineRule="atLeast"/>
        <w:jc w:val="center"/>
        <w:outlineLvl w:val="0"/>
        <w:rPr>
          <w:rFonts w:ascii="黑体" w:hAnsi="黑体" w:eastAsia="黑体" w:cs="Arial"/>
          <w:color w:val="333333"/>
          <w:spacing w:val="-15"/>
          <w:kern w:val="36"/>
          <w:sz w:val="48"/>
          <w:szCs w:val="48"/>
        </w:rPr>
      </w:pPr>
    </w:p>
    <w:p w14:paraId="35774326">
      <w:pPr>
        <w:widowControl/>
        <w:shd w:val="clear" w:color="auto" w:fill="FFFFFF"/>
        <w:spacing w:line="432" w:lineRule="atLeast"/>
        <w:jc w:val="center"/>
        <w:outlineLvl w:val="0"/>
        <w:rPr>
          <w:rFonts w:ascii="黑体" w:hAnsi="黑体" w:eastAsia="黑体" w:cs="Arial"/>
          <w:color w:val="333333"/>
          <w:kern w:val="36"/>
          <w:sz w:val="48"/>
          <w:szCs w:val="48"/>
        </w:rPr>
      </w:pPr>
      <w:bookmarkStart w:id="14" w:name="_Toc237847194"/>
      <w:bookmarkStart w:id="15" w:name="_Toc237847406"/>
      <w:r>
        <w:rPr>
          <w:rFonts w:hint="eastAsia" w:ascii="黑体" w:hAnsi="黑体" w:eastAsia="黑体" w:cs="Arial"/>
          <w:color w:val="333333"/>
          <w:spacing w:val="-15"/>
          <w:kern w:val="36"/>
          <w:sz w:val="48"/>
          <w:szCs w:val="48"/>
        </w:rPr>
        <w:t>林芝市“十五五”卫生健康事业发展规划</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66B9D3AF">
      <w:pPr>
        <w:widowControl/>
        <w:shd w:val="clear" w:color="auto" w:fill="FFFFFF"/>
        <w:spacing w:line="432" w:lineRule="atLeast"/>
        <w:jc w:val="center"/>
        <w:outlineLvl w:val="0"/>
        <w:rPr>
          <w:rFonts w:ascii="宋体" w:hAnsi="宋体" w:eastAsia="宋体" w:cs="Arial"/>
          <w:color w:val="333333"/>
          <w:spacing w:val="-15"/>
          <w:kern w:val="36"/>
          <w:sz w:val="27"/>
          <w:szCs w:val="27"/>
        </w:rPr>
      </w:pPr>
    </w:p>
    <w:p w14:paraId="7B1E0317">
      <w:pPr>
        <w:widowControl/>
        <w:shd w:val="clear" w:color="auto" w:fill="FFFFFF"/>
        <w:spacing w:line="432" w:lineRule="atLeast"/>
        <w:jc w:val="center"/>
        <w:outlineLvl w:val="0"/>
        <w:rPr>
          <w:rFonts w:ascii="宋体" w:hAnsi="宋体" w:eastAsia="宋体" w:cs="Arial"/>
          <w:color w:val="333333"/>
          <w:spacing w:val="-15"/>
          <w:kern w:val="36"/>
          <w:sz w:val="27"/>
          <w:szCs w:val="27"/>
        </w:rPr>
      </w:pPr>
    </w:p>
    <w:p w14:paraId="2E8319B8">
      <w:pPr>
        <w:widowControl/>
        <w:shd w:val="clear" w:color="auto" w:fill="FFFFFF"/>
        <w:spacing w:line="432" w:lineRule="atLeast"/>
        <w:jc w:val="center"/>
        <w:outlineLvl w:val="0"/>
        <w:rPr>
          <w:rFonts w:ascii="宋体" w:hAnsi="宋体" w:eastAsia="宋体" w:cs="Arial"/>
          <w:color w:val="333333"/>
          <w:spacing w:val="-15"/>
          <w:kern w:val="36"/>
          <w:sz w:val="27"/>
          <w:szCs w:val="27"/>
        </w:rPr>
      </w:pPr>
    </w:p>
    <w:p w14:paraId="4863F755">
      <w:pPr>
        <w:widowControl/>
        <w:shd w:val="clear" w:color="auto" w:fill="FFFFFF"/>
        <w:spacing w:line="432" w:lineRule="atLeast"/>
        <w:jc w:val="center"/>
        <w:outlineLvl w:val="0"/>
        <w:rPr>
          <w:rFonts w:ascii="宋体" w:hAnsi="宋体" w:eastAsia="宋体" w:cs="Arial"/>
          <w:color w:val="333333"/>
          <w:spacing w:val="-15"/>
          <w:kern w:val="36"/>
          <w:sz w:val="27"/>
          <w:szCs w:val="27"/>
        </w:rPr>
      </w:pPr>
    </w:p>
    <w:p w14:paraId="462CD01F">
      <w:pPr>
        <w:widowControl/>
        <w:shd w:val="clear" w:color="auto" w:fill="FFFFFF"/>
        <w:spacing w:line="432" w:lineRule="atLeast"/>
        <w:jc w:val="center"/>
        <w:outlineLvl w:val="0"/>
        <w:rPr>
          <w:rFonts w:ascii="宋体" w:hAnsi="宋体" w:eastAsia="宋体" w:cs="Arial"/>
          <w:color w:val="333333"/>
          <w:spacing w:val="-15"/>
          <w:kern w:val="36"/>
          <w:sz w:val="27"/>
          <w:szCs w:val="27"/>
        </w:rPr>
      </w:pPr>
    </w:p>
    <w:p w14:paraId="63D151DB">
      <w:pPr>
        <w:widowControl/>
        <w:shd w:val="clear" w:color="auto" w:fill="FFFFFF"/>
        <w:spacing w:line="432" w:lineRule="atLeast"/>
        <w:jc w:val="center"/>
        <w:outlineLvl w:val="0"/>
        <w:rPr>
          <w:rFonts w:ascii="宋体" w:hAnsi="宋体" w:eastAsia="宋体" w:cs="Arial"/>
          <w:color w:val="333333"/>
          <w:spacing w:val="-15"/>
          <w:kern w:val="36"/>
          <w:sz w:val="27"/>
          <w:szCs w:val="27"/>
        </w:rPr>
      </w:pPr>
    </w:p>
    <w:p w14:paraId="274A697B">
      <w:pPr>
        <w:widowControl/>
        <w:shd w:val="clear" w:color="auto" w:fill="FFFFFF"/>
        <w:spacing w:line="432" w:lineRule="atLeast"/>
        <w:jc w:val="center"/>
        <w:outlineLvl w:val="0"/>
        <w:rPr>
          <w:rFonts w:ascii="宋体" w:hAnsi="宋体" w:eastAsia="宋体" w:cs="Arial"/>
          <w:color w:val="333333"/>
          <w:spacing w:val="-15"/>
          <w:kern w:val="36"/>
          <w:sz w:val="27"/>
          <w:szCs w:val="27"/>
        </w:rPr>
      </w:pPr>
    </w:p>
    <w:p w14:paraId="70FB6005">
      <w:pPr>
        <w:widowControl/>
        <w:shd w:val="clear" w:color="auto" w:fill="FFFFFF"/>
        <w:spacing w:line="432" w:lineRule="atLeast"/>
        <w:jc w:val="center"/>
        <w:outlineLvl w:val="0"/>
        <w:rPr>
          <w:rFonts w:ascii="宋体" w:hAnsi="宋体" w:eastAsia="宋体" w:cs="Arial"/>
          <w:color w:val="333333"/>
          <w:spacing w:val="-15"/>
          <w:kern w:val="36"/>
          <w:sz w:val="27"/>
          <w:szCs w:val="27"/>
        </w:rPr>
      </w:pPr>
    </w:p>
    <w:p w14:paraId="042DC2DE">
      <w:pPr>
        <w:widowControl/>
        <w:shd w:val="clear" w:color="auto" w:fill="FFFFFF"/>
        <w:spacing w:line="432" w:lineRule="atLeast"/>
        <w:jc w:val="center"/>
        <w:outlineLvl w:val="0"/>
        <w:rPr>
          <w:rFonts w:ascii="宋体" w:hAnsi="宋体" w:eastAsia="宋体" w:cs="Arial"/>
          <w:color w:val="333333"/>
          <w:spacing w:val="-15"/>
          <w:kern w:val="36"/>
          <w:sz w:val="27"/>
          <w:szCs w:val="27"/>
        </w:rPr>
      </w:pPr>
    </w:p>
    <w:p w14:paraId="6281DE49">
      <w:pPr>
        <w:widowControl/>
        <w:shd w:val="clear" w:color="auto" w:fill="FFFFFF"/>
        <w:spacing w:line="432" w:lineRule="atLeast"/>
        <w:jc w:val="center"/>
        <w:outlineLvl w:val="0"/>
        <w:rPr>
          <w:rFonts w:ascii="宋体" w:hAnsi="宋体" w:eastAsia="宋体" w:cs="Arial"/>
          <w:color w:val="333333"/>
          <w:spacing w:val="-15"/>
          <w:kern w:val="36"/>
          <w:sz w:val="27"/>
          <w:szCs w:val="27"/>
        </w:rPr>
      </w:pPr>
    </w:p>
    <w:p w14:paraId="65211EC3">
      <w:pPr>
        <w:widowControl/>
        <w:shd w:val="clear" w:color="auto" w:fill="FFFFFF"/>
        <w:spacing w:line="432" w:lineRule="atLeast"/>
        <w:jc w:val="center"/>
        <w:outlineLvl w:val="0"/>
        <w:rPr>
          <w:rFonts w:ascii="宋体" w:hAnsi="宋体" w:eastAsia="宋体" w:cs="Arial"/>
          <w:color w:val="333333"/>
          <w:spacing w:val="-15"/>
          <w:kern w:val="36"/>
          <w:sz w:val="27"/>
          <w:szCs w:val="27"/>
        </w:rPr>
      </w:pPr>
    </w:p>
    <w:p w14:paraId="4FB49FE3">
      <w:pPr>
        <w:widowControl/>
        <w:shd w:val="clear" w:color="auto" w:fill="FFFFFF"/>
        <w:spacing w:line="432" w:lineRule="atLeast"/>
        <w:jc w:val="center"/>
        <w:outlineLvl w:val="0"/>
        <w:rPr>
          <w:rFonts w:ascii="楷体" w:hAnsi="楷体" w:eastAsia="楷体" w:cs="Arial"/>
          <w:b/>
          <w:color w:val="333333"/>
          <w:spacing w:val="-15"/>
          <w:kern w:val="36"/>
          <w:sz w:val="36"/>
          <w:szCs w:val="36"/>
        </w:rPr>
      </w:pPr>
      <w:bookmarkStart w:id="16" w:name="_Toc225367665"/>
      <w:bookmarkStart w:id="17" w:name="_Toc235476197"/>
      <w:bookmarkStart w:id="18" w:name="_Toc237847407"/>
      <w:bookmarkStart w:id="19" w:name="_Toc229475463"/>
      <w:bookmarkStart w:id="20" w:name="_Toc224486453"/>
      <w:bookmarkStart w:id="21" w:name="_Toc224678027"/>
      <w:bookmarkStart w:id="22" w:name="_Toc224128830"/>
      <w:bookmarkStart w:id="23" w:name="_Toc237847195"/>
      <w:bookmarkStart w:id="24" w:name="_Toc235857844"/>
      <w:bookmarkStart w:id="25" w:name="_Toc225259768"/>
      <w:bookmarkStart w:id="26" w:name="_Toc225259839"/>
      <w:bookmarkStart w:id="27" w:name="_Toc224722532"/>
      <w:bookmarkStart w:id="28" w:name="_Toc224128897"/>
      <w:bookmarkStart w:id="29" w:name="_Toc229172715"/>
      <w:bookmarkStart w:id="30" w:name="_Toc232672283"/>
      <w:bookmarkStart w:id="31" w:name="_Toc225260011"/>
      <w:r>
        <w:rPr>
          <w:rFonts w:hint="eastAsia" w:ascii="楷体" w:hAnsi="楷体" w:eastAsia="楷体" w:cs="Arial"/>
          <w:b/>
          <w:color w:val="333333"/>
          <w:spacing w:val="-15"/>
          <w:kern w:val="36"/>
          <w:sz w:val="36"/>
          <w:szCs w:val="36"/>
        </w:rPr>
        <w:t>林芝市卫生健康委员会</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5BCE8DF0">
      <w:pPr>
        <w:widowControl/>
        <w:shd w:val="clear" w:color="auto" w:fill="FFFFFF"/>
        <w:spacing w:line="432" w:lineRule="atLeast"/>
        <w:jc w:val="center"/>
        <w:outlineLvl w:val="0"/>
        <w:rPr>
          <w:rFonts w:ascii="楷体" w:hAnsi="楷体" w:eastAsia="楷体" w:cs="Arial"/>
          <w:b/>
          <w:color w:val="333333"/>
          <w:spacing w:val="-15"/>
          <w:kern w:val="36"/>
          <w:sz w:val="36"/>
          <w:szCs w:val="36"/>
        </w:rPr>
      </w:pPr>
      <w:bookmarkStart w:id="32" w:name="_Toc235857845"/>
      <w:bookmarkStart w:id="33" w:name="_Toc225367666"/>
      <w:bookmarkStart w:id="34" w:name="_Toc229172716"/>
      <w:bookmarkStart w:id="35" w:name="_Toc237847408"/>
      <w:bookmarkStart w:id="36" w:name="_Toc235476198"/>
      <w:bookmarkStart w:id="37" w:name="_Toc225260012"/>
      <w:bookmarkStart w:id="38" w:name="_Toc225259840"/>
      <w:bookmarkStart w:id="39" w:name="_Toc225259769"/>
      <w:bookmarkStart w:id="40" w:name="_Toc224722533"/>
      <w:bookmarkStart w:id="41" w:name="_Toc224678028"/>
      <w:bookmarkStart w:id="42" w:name="_Toc237847196"/>
      <w:bookmarkStart w:id="43" w:name="_Toc229475464"/>
      <w:bookmarkStart w:id="44" w:name="_Toc232672284"/>
      <w:r>
        <w:rPr>
          <w:rFonts w:hint="eastAsia" w:ascii="楷体" w:hAnsi="楷体" w:eastAsia="楷体" w:cs="Arial"/>
          <w:b/>
          <w:color w:val="333333"/>
          <w:spacing w:val="-15"/>
          <w:kern w:val="36"/>
          <w:sz w:val="36"/>
          <w:szCs w:val="36"/>
        </w:rPr>
        <w:t>成都中医药大学</w:t>
      </w:r>
      <w:bookmarkEnd w:id="32"/>
      <w:bookmarkEnd w:id="33"/>
      <w:bookmarkEnd w:id="34"/>
      <w:bookmarkEnd w:id="35"/>
      <w:bookmarkEnd w:id="36"/>
      <w:bookmarkEnd w:id="37"/>
      <w:bookmarkEnd w:id="38"/>
      <w:bookmarkEnd w:id="39"/>
      <w:bookmarkEnd w:id="40"/>
      <w:bookmarkEnd w:id="41"/>
      <w:bookmarkEnd w:id="42"/>
      <w:bookmarkEnd w:id="43"/>
      <w:bookmarkEnd w:id="44"/>
    </w:p>
    <w:p w14:paraId="40CAEC0F">
      <w:pPr>
        <w:widowControl/>
        <w:shd w:val="clear" w:color="auto" w:fill="FFFFFF"/>
        <w:spacing w:line="432" w:lineRule="atLeast"/>
        <w:jc w:val="center"/>
        <w:outlineLvl w:val="0"/>
        <w:rPr>
          <w:rFonts w:ascii="楷体" w:hAnsi="楷体" w:eastAsia="楷体" w:cs="Arial"/>
          <w:b/>
          <w:color w:val="333333"/>
          <w:spacing w:val="-15"/>
          <w:kern w:val="36"/>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440" w:bottom="1440" w:left="1440" w:header="851" w:footer="992" w:gutter="0"/>
          <w:pgNumType w:start="1"/>
          <w:cols w:space="425" w:num="1"/>
          <w:docGrid w:type="lines" w:linePitch="326" w:charSpace="0"/>
        </w:sectPr>
      </w:pPr>
      <w:bookmarkStart w:id="45" w:name="_Toc232672285"/>
      <w:bookmarkStart w:id="46" w:name="_Toc224486455"/>
      <w:bookmarkStart w:id="47" w:name="_Toc225259770"/>
      <w:bookmarkStart w:id="48" w:name="_Toc235857846"/>
      <w:bookmarkStart w:id="49" w:name="_Toc237847409"/>
      <w:bookmarkStart w:id="50" w:name="_Toc237847197"/>
      <w:bookmarkStart w:id="51" w:name="_Toc224128832"/>
      <w:bookmarkStart w:id="52" w:name="_Toc224128899"/>
      <w:bookmarkStart w:id="53" w:name="_Toc224722534"/>
      <w:bookmarkStart w:id="54" w:name="_Toc229172717"/>
      <w:bookmarkStart w:id="55" w:name="_Toc224678029"/>
      <w:bookmarkStart w:id="56" w:name="_Toc229475465"/>
      <w:bookmarkStart w:id="57" w:name="_Toc235476199"/>
      <w:bookmarkStart w:id="58" w:name="_Toc225367667"/>
      <w:bookmarkStart w:id="59" w:name="_Toc225259841"/>
      <w:bookmarkStart w:id="60" w:name="_Toc225260013"/>
      <w:r>
        <w:rPr>
          <w:rFonts w:hint="eastAsia" w:ascii="楷体" w:hAnsi="楷体" w:eastAsia="楷体" w:cs="Arial"/>
          <w:b/>
          <w:color w:val="333333"/>
          <w:spacing w:val="-15"/>
          <w:kern w:val="36"/>
          <w:sz w:val="36"/>
          <w:szCs w:val="36"/>
        </w:rPr>
        <w:t>2026年8月</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42EB5C6D">
      <w:pPr>
        <w:pStyle w:val="4"/>
      </w:pPr>
      <w:r>
        <w:fldChar w:fldCharType="begin"/>
      </w:r>
      <w:r>
        <w:instrText xml:space="preserve"> TOC \o "1-2" \h \z \u </w:instrText>
      </w:r>
      <w:r>
        <w:fldChar w:fldCharType="separate"/>
      </w:r>
      <w:r>
        <w:t>目</w:t>
      </w:r>
      <w:r>
        <w:rPr>
          <w:rFonts w:hint="eastAsia"/>
        </w:rPr>
        <w:t xml:space="preserve">  </w:t>
      </w:r>
      <w:r>
        <w:t>录</w:t>
      </w:r>
    </w:p>
    <w:p w14:paraId="3838471C">
      <w:pPr>
        <w:pStyle w:val="4"/>
      </w:pPr>
    </w:p>
    <w:p w14:paraId="2419CA5E">
      <w:pPr>
        <w:pStyle w:val="4"/>
        <w:rPr>
          <w:rFonts w:ascii="Times New Roman" w:hAnsi="Times New Roman" w:cs="Times New Roman"/>
        </w:rPr>
      </w:pPr>
      <w:r>
        <w:fldChar w:fldCharType="begin"/>
      </w:r>
      <w:r>
        <w:instrText xml:space="preserve"> HYPERLINK \l "_Toc237847410" </w:instrText>
      </w:r>
      <w:r>
        <w:fldChar w:fldCharType="separate"/>
      </w:r>
      <w:r>
        <w:rPr>
          <w:rStyle w:val="8"/>
          <w:rFonts w:ascii="Times New Roman" w:hAnsi="Times New Roman" w:cs="Times New Roman"/>
          <w:kern w:val="44"/>
        </w:rPr>
        <w:t>一、规划背景</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_Toc237847410 \h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fldChar w:fldCharType="end"/>
      </w:r>
    </w:p>
    <w:p w14:paraId="678BCA14">
      <w:pPr>
        <w:pStyle w:val="5"/>
        <w:tabs>
          <w:tab w:val="right" w:leader="dot" w:pos="9016"/>
        </w:tabs>
        <w:rPr>
          <w:rFonts w:ascii="Times New Roman" w:hAnsi="Times New Roman" w:cs="Times New Roman"/>
          <w:sz w:val="30"/>
          <w:szCs w:val="30"/>
        </w:rPr>
      </w:pPr>
      <w:r>
        <w:fldChar w:fldCharType="begin"/>
      </w:r>
      <w:r>
        <w:instrText xml:space="preserve"> HYPERLINK \l "_Toc237847411" </w:instrText>
      </w:r>
      <w:r>
        <w:fldChar w:fldCharType="separate"/>
      </w:r>
      <w:r>
        <w:rPr>
          <w:rStyle w:val="8"/>
          <w:rFonts w:ascii="Times New Roman" w:hAnsi="Times New Roman" w:eastAsia="仿宋" w:cs="Times New Roman"/>
          <w:b/>
          <w:sz w:val="30"/>
          <w:szCs w:val="30"/>
        </w:rPr>
        <w:t>（一）“十四五”工作成效</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_Toc237847411 \h </w:instrText>
      </w:r>
      <w:r>
        <w:rPr>
          <w:rFonts w:ascii="Times New Roman" w:hAnsi="Times New Roman" w:cs="Times New Roman"/>
          <w:sz w:val="30"/>
          <w:szCs w:val="30"/>
        </w:rPr>
        <w:fldChar w:fldCharType="separate"/>
      </w:r>
      <w:r>
        <w:rPr>
          <w:rFonts w:ascii="Times New Roman" w:hAnsi="Times New Roman" w:cs="Times New Roman"/>
          <w:sz w:val="30"/>
          <w:szCs w:val="30"/>
        </w:rPr>
        <w:t>1</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70A20512">
      <w:pPr>
        <w:pStyle w:val="5"/>
        <w:tabs>
          <w:tab w:val="right" w:leader="dot" w:pos="9016"/>
        </w:tabs>
        <w:rPr>
          <w:rFonts w:ascii="Times New Roman" w:hAnsi="Times New Roman" w:cs="Times New Roman"/>
          <w:sz w:val="30"/>
          <w:szCs w:val="30"/>
        </w:rPr>
      </w:pPr>
      <w:r>
        <w:fldChar w:fldCharType="begin"/>
      </w:r>
      <w:r>
        <w:instrText xml:space="preserve"> HYPERLINK \l "_Toc237847412" </w:instrText>
      </w:r>
      <w:r>
        <w:fldChar w:fldCharType="separate"/>
      </w:r>
      <w:r>
        <w:rPr>
          <w:rStyle w:val="8"/>
          <w:rFonts w:ascii="Times New Roman" w:hAnsi="Times New Roman" w:eastAsia="仿宋" w:cs="Times New Roman"/>
          <w:b/>
          <w:sz w:val="30"/>
          <w:szCs w:val="30"/>
        </w:rPr>
        <w:t>（二）“十五五”发展机遇</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_Toc237847412 \h </w:instrText>
      </w:r>
      <w:r>
        <w:rPr>
          <w:rFonts w:ascii="Times New Roman" w:hAnsi="Times New Roman" w:cs="Times New Roman"/>
          <w:sz w:val="30"/>
          <w:szCs w:val="30"/>
        </w:rPr>
        <w:fldChar w:fldCharType="separate"/>
      </w:r>
      <w:r>
        <w:rPr>
          <w:rFonts w:ascii="Times New Roman" w:hAnsi="Times New Roman" w:cs="Times New Roman"/>
          <w:sz w:val="30"/>
          <w:szCs w:val="30"/>
        </w:rPr>
        <w:t>6</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6A61D99D">
      <w:pPr>
        <w:pStyle w:val="5"/>
        <w:tabs>
          <w:tab w:val="right" w:leader="dot" w:pos="9016"/>
        </w:tabs>
        <w:rPr>
          <w:rFonts w:ascii="Times New Roman" w:hAnsi="Times New Roman" w:cs="Times New Roman"/>
          <w:sz w:val="30"/>
          <w:szCs w:val="30"/>
        </w:rPr>
      </w:pPr>
      <w:r>
        <w:fldChar w:fldCharType="begin"/>
      </w:r>
      <w:r>
        <w:instrText xml:space="preserve"> HYPERLINK \l "_Toc237847413" </w:instrText>
      </w:r>
      <w:r>
        <w:fldChar w:fldCharType="separate"/>
      </w:r>
      <w:r>
        <w:rPr>
          <w:rStyle w:val="8"/>
          <w:rFonts w:ascii="Times New Roman" w:hAnsi="Times New Roman" w:eastAsia="仿宋" w:cs="Times New Roman"/>
          <w:b/>
          <w:sz w:val="30"/>
          <w:szCs w:val="30"/>
        </w:rPr>
        <w:t>（三）面临的主要挑战</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_Toc237847413 \h </w:instrText>
      </w:r>
      <w:r>
        <w:rPr>
          <w:rFonts w:ascii="Times New Roman" w:hAnsi="Times New Roman" w:cs="Times New Roman"/>
          <w:sz w:val="30"/>
          <w:szCs w:val="30"/>
        </w:rPr>
        <w:fldChar w:fldCharType="separate"/>
      </w:r>
      <w:r>
        <w:rPr>
          <w:rFonts w:ascii="Times New Roman" w:hAnsi="Times New Roman" w:cs="Times New Roman"/>
          <w:sz w:val="30"/>
          <w:szCs w:val="30"/>
        </w:rPr>
        <w:t>8</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1B7C9B71">
      <w:pPr>
        <w:pStyle w:val="4"/>
        <w:rPr>
          <w:rFonts w:ascii="Times New Roman" w:hAnsi="Times New Roman" w:cs="Times New Roman"/>
        </w:rPr>
      </w:pPr>
      <w:r>
        <w:fldChar w:fldCharType="begin"/>
      </w:r>
      <w:r>
        <w:instrText xml:space="preserve"> HYPERLINK \l "_Toc237847414" </w:instrText>
      </w:r>
      <w:r>
        <w:fldChar w:fldCharType="separate"/>
      </w:r>
      <w:r>
        <w:rPr>
          <w:rStyle w:val="8"/>
          <w:rFonts w:ascii="Times New Roman" w:hAnsi="Times New Roman" w:cs="Times New Roman"/>
          <w:kern w:val="44"/>
        </w:rPr>
        <w:t>二、总体要求</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_Toc237847414 \h </w:instrText>
      </w:r>
      <w:r>
        <w:rPr>
          <w:rFonts w:ascii="Times New Roman" w:hAnsi="Times New Roman" w:cs="Times New Roman"/>
        </w:rPr>
        <w:fldChar w:fldCharType="separate"/>
      </w:r>
      <w:r>
        <w:rPr>
          <w:rFonts w:ascii="Times New Roman" w:hAnsi="Times New Roman" w:cs="Times New Roman"/>
        </w:rPr>
        <w:t>9</w:t>
      </w:r>
      <w:r>
        <w:rPr>
          <w:rFonts w:ascii="Times New Roman" w:hAnsi="Times New Roman" w:cs="Times New Roman"/>
        </w:rPr>
        <w:fldChar w:fldCharType="end"/>
      </w:r>
      <w:r>
        <w:rPr>
          <w:rFonts w:ascii="Times New Roman" w:hAnsi="Times New Roman" w:cs="Times New Roman"/>
        </w:rPr>
        <w:fldChar w:fldCharType="end"/>
      </w:r>
    </w:p>
    <w:p w14:paraId="4CADF431">
      <w:pPr>
        <w:pStyle w:val="5"/>
        <w:tabs>
          <w:tab w:val="right" w:leader="dot" w:pos="9016"/>
        </w:tabs>
        <w:rPr>
          <w:rFonts w:ascii="Times New Roman" w:hAnsi="Times New Roman" w:cs="Times New Roman"/>
          <w:sz w:val="30"/>
          <w:szCs w:val="30"/>
        </w:rPr>
      </w:pPr>
      <w:r>
        <w:fldChar w:fldCharType="begin"/>
      </w:r>
      <w:r>
        <w:instrText xml:space="preserve"> HYPERLINK \l "_Toc237847415" </w:instrText>
      </w:r>
      <w:r>
        <w:fldChar w:fldCharType="separate"/>
      </w:r>
      <w:r>
        <w:rPr>
          <w:rStyle w:val="8"/>
          <w:rFonts w:ascii="Times New Roman" w:hAnsi="Times New Roman" w:eastAsia="仿宋" w:cs="Times New Roman"/>
          <w:b/>
          <w:sz w:val="30"/>
          <w:szCs w:val="30"/>
        </w:rPr>
        <w:t>（一）指导思想</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_Toc237847415 \h </w:instrText>
      </w:r>
      <w:r>
        <w:rPr>
          <w:rFonts w:ascii="Times New Roman" w:hAnsi="Times New Roman" w:cs="Times New Roman"/>
          <w:sz w:val="30"/>
          <w:szCs w:val="30"/>
        </w:rPr>
        <w:fldChar w:fldCharType="separate"/>
      </w:r>
      <w:r>
        <w:rPr>
          <w:rFonts w:ascii="Times New Roman" w:hAnsi="Times New Roman" w:cs="Times New Roman"/>
          <w:sz w:val="30"/>
          <w:szCs w:val="30"/>
        </w:rPr>
        <w:t>9</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12C773FA">
      <w:pPr>
        <w:pStyle w:val="5"/>
        <w:tabs>
          <w:tab w:val="right" w:leader="dot" w:pos="9016"/>
        </w:tabs>
        <w:rPr>
          <w:rFonts w:ascii="Times New Roman" w:hAnsi="Times New Roman" w:cs="Times New Roman"/>
          <w:sz w:val="30"/>
          <w:szCs w:val="30"/>
        </w:rPr>
      </w:pPr>
      <w:r>
        <w:fldChar w:fldCharType="begin"/>
      </w:r>
      <w:r>
        <w:instrText xml:space="preserve"> HYPERLINK \l "_Toc237847416" </w:instrText>
      </w:r>
      <w:r>
        <w:fldChar w:fldCharType="separate"/>
      </w:r>
      <w:r>
        <w:rPr>
          <w:rStyle w:val="8"/>
          <w:rFonts w:ascii="Times New Roman" w:hAnsi="Times New Roman" w:eastAsia="仿宋" w:cs="Times New Roman"/>
          <w:b/>
          <w:sz w:val="30"/>
          <w:szCs w:val="30"/>
        </w:rPr>
        <w:t>（二）基本原则</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_Toc237847416 \h </w:instrText>
      </w:r>
      <w:r>
        <w:rPr>
          <w:rFonts w:ascii="Times New Roman" w:hAnsi="Times New Roman" w:cs="Times New Roman"/>
          <w:sz w:val="30"/>
          <w:szCs w:val="30"/>
        </w:rPr>
        <w:fldChar w:fldCharType="separate"/>
      </w:r>
      <w:r>
        <w:rPr>
          <w:rFonts w:ascii="Times New Roman" w:hAnsi="Times New Roman" w:cs="Times New Roman"/>
          <w:sz w:val="30"/>
          <w:szCs w:val="30"/>
        </w:rPr>
        <w:t>10</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389B3F33">
      <w:pPr>
        <w:pStyle w:val="5"/>
        <w:tabs>
          <w:tab w:val="right" w:leader="dot" w:pos="9016"/>
        </w:tabs>
        <w:rPr>
          <w:rFonts w:ascii="Times New Roman" w:hAnsi="Times New Roman" w:cs="Times New Roman"/>
          <w:sz w:val="30"/>
          <w:szCs w:val="30"/>
        </w:rPr>
      </w:pPr>
      <w:r>
        <w:fldChar w:fldCharType="begin"/>
      </w:r>
      <w:r>
        <w:instrText xml:space="preserve"> HYPERLINK \l "_Toc237847417" </w:instrText>
      </w:r>
      <w:r>
        <w:fldChar w:fldCharType="separate"/>
      </w:r>
      <w:r>
        <w:rPr>
          <w:rStyle w:val="8"/>
          <w:rFonts w:ascii="Times New Roman" w:hAnsi="Times New Roman" w:eastAsia="仿宋" w:cs="Times New Roman"/>
          <w:b/>
          <w:sz w:val="30"/>
          <w:szCs w:val="30"/>
        </w:rPr>
        <w:t>（三）发展目标</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_Toc237847417 \h </w:instrText>
      </w:r>
      <w:r>
        <w:rPr>
          <w:rFonts w:ascii="Times New Roman" w:hAnsi="Times New Roman" w:cs="Times New Roman"/>
          <w:sz w:val="30"/>
          <w:szCs w:val="30"/>
        </w:rPr>
        <w:fldChar w:fldCharType="separate"/>
      </w:r>
      <w:r>
        <w:rPr>
          <w:rFonts w:ascii="Times New Roman" w:hAnsi="Times New Roman" w:cs="Times New Roman"/>
          <w:sz w:val="30"/>
          <w:szCs w:val="30"/>
        </w:rPr>
        <w:t>12</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49792D37">
      <w:pPr>
        <w:pStyle w:val="4"/>
        <w:rPr>
          <w:rFonts w:ascii="Times New Roman" w:hAnsi="Times New Roman" w:cs="Times New Roman"/>
        </w:rPr>
      </w:pPr>
      <w:r>
        <w:fldChar w:fldCharType="begin"/>
      </w:r>
      <w:r>
        <w:instrText xml:space="preserve"> HYPERLINK \l "_Toc237847418" </w:instrText>
      </w:r>
      <w:r>
        <w:fldChar w:fldCharType="separate"/>
      </w:r>
      <w:r>
        <w:rPr>
          <w:rStyle w:val="8"/>
          <w:rFonts w:ascii="Times New Roman" w:hAnsi="Times New Roman" w:cs="Times New Roman"/>
          <w:kern w:val="44"/>
        </w:rPr>
        <w:t>三、打造雪域健康城市</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_Toc237847418 \h </w:instrText>
      </w:r>
      <w:r>
        <w:rPr>
          <w:rFonts w:ascii="Times New Roman" w:hAnsi="Times New Roman" w:cs="Times New Roman"/>
        </w:rPr>
        <w:fldChar w:fldCharType="separate"/>
      </w:r>
      <w:r>
        <w:rPr>
          <w:rFonts w:ascii="Times New Roman" w:hAnsi="Times New Roman" w:cs="Times New Roman"/>
        </w:rPr>
        <w:t>15</w:t>
      </w:r>
      <w:r>
        <w:rPr>
          <w:rFonts w:ascii="Times New Roman" w:hAnsi="Times New Roman" w:cs="Times New Roman"/>
        </w:rPr>
        <w:fldChar w:fldCharType="end"/>
      </w:r>
      <w:r>
        <w:rPr>
          <w:rFonts w:ascii="Times New Roman" w:hAnsi="Times New Roman" w:cs="Times New Roman"/>
        </w:rPr>
        <w:fldChar w:fldCharType="end"/>
      </w:r>
    </w:p>
    <w:p w14:paraId="186D725D">
      <w:pPr>
        <w:pStyle w:val="5"/>
        <w:tabs>
          <w:tab w:val="right" w:leader="dot" w:pos="9016"/>
        </w:tabs>
        <w:rPr>
          <w:rFonts w:ascii="Times New Roman" w:hAnsi="Times New Roman" w:cs="Times New Roman"/>
          <w:sz w:val="30"/>
          <w:szCs w:val="30"/>
        </w:rPr>
      </w:pPr>
      <w:r>
        <w:fldChar w:fldCharType="begin"/>
      </w:r>
      <w:r>
        <w:instrText xml:space="preserve"> HYPERLINK \l "_Toc237847419" </w:instrText>
      </w:r>
      <w:r>
        <w:fldChar w:fldCharType="separate"/>
      </w:r>
      <w:r>
        <w:rPr>
          <w:rStyle w:val="8"/>
          <w:rFonts w:ascii="Times New Roman" w:hAnsi="Times New Roman" w:eastAsia="仿宋" w:cs="Times New Roman"/>
          <w:b/>
          <w:snapToGrid w:val="0"/>
          <w:sz w:val="30"/>
          <w:szCs w:val="30"/>
        </w:rPr>
        <w:t>（一）强化健康促进</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_Toc237847419 \h </w:instrText>
      </w:r>
      <w:r>
        <w:rPr>
          <w:rFonts w:ascii="Times New Roman" w:hAnsi="Times New Roman" w:cs="Times New Roman"/>
          <w:sz w:val="30"/>
          <w:szCs w:val="30"/>
        </w:rPr>
        <w:fldChar w:fldCharType="separate"/>
      </w:r>
      <w:r>
        <w:rPr>
          <w:rFonts w:ascii="Times New Roman" w:hAnsi="Times New Roman" w:cs="Times New Roman"/>
          <w:sz w:val="30"/>
          <w:szCs w:val="30"/>
        </w:rPr>
        <w:t>15</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36543596">
      <w:pPr>
        <w:pStyle w:val="5"/>
        <w:tabs>
          <w:tab w:val="right" w:leader="dot" w:pos="9016"/>
        </w:tabs>
        <w:rPr>
          <w:rFonts w:ascii="Times New Roman" w:hAnsi="Times New Roman" w:cs="Times New Roman"/>
          <w:sz w:val="30"/>
          <w:szCs w:val="30"/>
        </w:rPr>
      </w:pPr>
      <w:r>
        <w:fldChar w:fldCharType="begin"/>
      </w:r>
      <w:r>
        <w:instrText xml:space="preserve"> HYPERLINK \l "_Toc237847420" </w:instrText>
      </w:r>
      <w:r>
        <w:fldChar w:fldCharType="separate"/>
      </w:r>
      <w:r>
        <w:rPr>
          <w:rStyle w:val="8"/>
          <w:rFonts w:ascii="Times New Roman" w:hAnsi="Times New Roman" w:eastAsia="仿宋" w:cs="Times New Roman"/>
          <w:b/>
          <w:snapToGrid w:val="0"/>
          <w:sz w:val="30"/>
          <w:szCs w:val="30"/>
        </w:rPr>
        <w:t>（二）维护全生命周期全人群健康</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_Toc237847420 \h </w:instrText>
      </w:r>
      <w:r>
        <w:rPr>
          <w:rFonts w:ascii="Times New Roman" w:hAnsi="Times New Roman" w:cs="Times New Roman"/>
          <w:sz w:val="30"/>
          <w:szCs w:val="30"/>
        </w:rPr>
        <w:fldChar w:fldCharType="separate"/>
      </w:r>
      <w:r>
        <w:rPr>
          <w:rFonts w:ascii="Times New Roman" w:hAnsi="Times New Roman" w:cs="Times New Roman"/>
          <w:sz w:val="30"/>
          <w:szCs w:val="30"/>
        </w:rPr>
        <w:t>16</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248D9EAD">
      <w:pPr>
        <w:pStyle w:val="5"/>
        <w:tabs>
          <w:tab w:val="right" w:leader="dot" w:pos="9016"/>
        </w:tabs>
        <w:rPr>
          <w:rFonts w:ascii="Times New Roman" w:hAnsi="Times New Roman" w:cs="Times New Roman"/>
          <w:sz w:val="30"/>
          <w:szCs w:val="30"/>
        </w:rPr>
      </w:pPr>
      <w:r>
        <w:fldChar w:fldCharType="begin"/>
      </w:r>
      <w:r>
        <w:instrText xml:space="preserve"> HYPERLINK \l "_Toc237847422" </w:instrText>
      </w:r>
      <w:r>
        <w:fldChar w:fldCharType="separate"/>
      </w:r>
      <w:r>
        <w:rPr>
          <w:rStyle w:val="8"/>
          <w:rFonts w:ascii="Times New Roman" w:hAnsi="Times New Roman" w:eastAsia="仿宋" w:cs="Times New Roman"/>
          <w:b/>
          <w:snapToGrid w:val="0"/>
          <w:sz w:val="30"/>
          <w:szCs w:val="30"/>
        </w:rPr>
        <w:t>（三）深化爱国卫生运动，构建健康促进新格局</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_Toc237847422 \h </w:instrText>
      </w:r>
      <w:r>
        <w:rPr>
          <w:rFonts w:ascii="Times New Roman" w:hAnsi="Times New Roman" w:cs="Times New Roman"/>
          <w:sz w:val="30"/>
          <w:szCs w:val="30"/>
        </w:rPr>
        <w:fldChar w:fldCharType="separate"/>
      </w:r>
      <w:r>
        <w:rPr>
          <w:rFonts w:ascii="Times New Roman" w:hAnsi="Times New Roman" w:cs="Times New Roman"/>
          <w:sz w:val="30"/>
          <w:szCs w:val="30"/>
        </w:rPr>
        <w:t>20</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000DD96C">
      <w:pPr>
        <w:pStyle w:val="4"/>
        <w:rPr>
          <w:rFonts w:ascii="Times New Roman" w:hAnsi="Times New Roman" w:cs="Times New Roman"/>
        </w:rPr>
      </w:pPr>
      <w:r>
        <w:fldChar w:fldCharType="begin"/>
      </w:r>
      <w:r>
        <w:instrText xml:space="preserve"> HYPERLINK \l "_Toc237847423" </w:instrText>
      </w:r>
      <w:r>
        <w:fldChar w:fldCharType="separate"/>
      </w:r>
      <w:r>
        <w:rPr>
          <w:rStyle w:val="8"/>
          <w:rFonts w:ascii="Times New Roman" w:hAnsi="Times New Roman" w:cs="Times New Roman"/>
          <w:kern w:val="44"/>
        </w:rPr>
        <w:t>四、健全公共卫生屏障</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_Toc237847423 \h </w:instrText>
      </w:r>
      <w:r>
        <w:rPr>
          <w:rFonts w:ascii="Times New Roman" w:hAnsi="Times New Roman" w:cs="Times New Roman"/>
        </w:rPr>
        <w:fldChar w:fldCharType="separate"/>
      </w:r>
      <w:r>
        <w:rPr>
          <w:rFonts w:ascii="Times New Roman" w:hAnsi="Times New Roman" w:cs="Times New Roman"/>
        </w:rPr>
        <w:t>23</w:t>
      </w:r>
      <w:r>
        <w:rPr>
          <w:rFonts w:ascii="Times New Roman" w:hAnsi="Times New Roman" w:cs="Times New Roman"/>
        </w:rPr>
        <w:fldChar w:fldCharType="end"/>
      </w:r>
      <w:r>
        <w:rPr>
          <w:rFonts w:ascii="Times New Roman" w:hAnsi="Times New Roman" w:cs="Times New Roman"/>
        </w:rPr>
        <w:fldChar w:fldCharType="end"/>
      </w:r>
    </w:p>
    <w:p w14:paraId="3D1964FB">
      <w:pPr>
        <w:pStyle w:val="5"/>
        <w:tabs>
          <w:tab w:val="right" w:leader="dot" w:pos="9016"/>
        </w:tabs>
        <w:rPr>
          <w:rFonts w:ascii="Times New Roman" w:hAnsi="Times New Roman" w:cs="Times New Roman"/>
          <w:sz w:val="30"/>
          <w:szCs w:val="30"/>
        </w:rPr>
      </w:pPr>
      <w:r>
        <w:fldChar w:fldCharType="begin"/>
      </w:r>
      <w:r>
        <w:instrText xml:space="preserve"> HYPERLINK \l "_Toc237847424" </w:instrText>
      </w:r>
      <w:r>
        <w:fldChar w:fldCharType="separate"/>
      </w:r>
      <w:r>
        <w:rPr>
          <w:rStyle w:val="8"/>
          <w:rFonts w:ascii="Times New Roman" w:hAnsi="Times New Roman" w:eastAsia="仿宋" w:cs="Times New Roman"/>
          <w:b/>
          <w:sz w:val="30"/>
          <w:szCs w:val="30"/>
        </w:rPr>
        <w:t>（一）完善疾病预防控制体系</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_Toc237847424 \h </w:instrText>
      </w:r>
      <w:r>
        <w:rPr>
          <w:rFonts w:ascii="Times New Roman" w:hAnsi="Times New Roman" w:cs="Times New Roman"/>
          <w:sz w:val="30"/>
          <w:szCs w:val="30"/>
        </w:rPr>
        <w:fldChar w:fldCharType="separate"/>
      </w:r>
      <w:r>
        <w:rPr>
          <w:rFonts w:ascii="Times New Roman" w:hAnsi="Times New Roman" w:cs="Times New Roman"/>
          <w:sz w:val="30"/>
          <w:szCs w:val="30"/>
        </w:rPr>
        <w:t>23</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7CD42E55">
      <w:pPr>
        <w:pStyle w:val="5"/>
        <w:tabs>
          <w:tab w:val="right" w:leader="dot" w:pos="9016"/>
        </w:tabs>
        <w:rPr>
          <w:rFonts w:ascii="Times New Roman" w:hAnsi="Times New Roman" w:cs="Times New Roman"/>
          <w:sz w:val="30"/>
          <w:szCs w:val="30"/>
        </w:rPr>
      </w:pPr>
      <w:r>
        <w:fldChar w:fldCharType="begin"/>
      </w:r>
      <w:r>
        <w:instrText xml:space="preserve"> HYPERLINK \l "_Toc237847425" </w:instrText>
      </w:r>
      <w:r>
        <w:fldChar w:fldCharType="separate"/>
      </w:r>
      <w:r>
        <w:rPr>
          <w:rStyle w:val="8"/>
          <w:rFonts w:ascii="Times New Roman" w:hAnsi="Times New Roman" w:eastAsia="仿宋" w:cs="Times New Roman"/>
          <w:b/>
          <w:sz w:val="30"/>
          <w:szCs w:val="30"/>
        </w:rPr>
        <w:t>（二）全面提升公共卫生核心能力</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_Toc237847425 \h </w:instrText>
      </w:r>
      <w:r>
        <w:rPr>
          <w:rFonts w:ascii="Times New Roman" w:hAnsi="Times New Roman" w:cs="Times New Roman"/>
          <w:sz w:val="30"/>
          <w:szCs w:val="30"/>
        </w:rPr>
        <w:fldChar w:fldCharType="separate"/>
      </w:r>
      <w:r>
        <w:rPr>
          <w:rFonts w:ascii="Times New Roman" w:hAnsi="Times New Roman" w:cs="Times New Roman"/>
          <w:sz w:val="30"/>
          <w:szCs w:val="30"/>
        </w:rPr>
        <w:t>24</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2FB8587A">
      <w:pPr>
        <w:pStyle w:val="5"/>
        <w:tabs>
          <w:tab w:val="right" w:leader="dot" w:pos="9016"/>
        </w:tabs>
        <w:rPr>
          <w:rFonts w:ascii="Times New Roman" w:hAnsi="Times New Roman" w:cs="Times New Roman"/>
          <w:sz w:val="30"/>
          <w:szCs w:val="30"/>
        </w:rPr>
      </w:pPr>
      <w:r>
        <w:fldChar w:fldCharType="begin"/>
      </w:r>
      <w:r>
        <w:instrText xml:space="preserve"> HYPERLINK \l "_Toc237847426" </w:instrText>
      </w:r>
      <w:r>
        <w:fldChar w:fldCharType="separate"/>
      </w:r>
      <w:r>
        <w:rPr>
          <w:rStyle w:val="8"/>
          <w:rFonts w:ascii="Times New Roman" w:hAnsi="Times New Roman" w:eastAsia="仿宋" w:cs="Times New Roman"/>
          <w:b/>
          <w:sz w:val="30"/>
          <w:szCs w:val="30"/>
        </w:rPr>
        <w:t>（三）强化疾病精准防控</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_Toc237847426 \h </w:instrText>
      </w:r>
      <w:r>
        <w:rPr>
          <w:rFonts w:ascii="Times New Roman" w:hAnsi="Times New Roman" w:cs="Times New Roman"/>
          <w:sz w:val="30"/>
          <w:szCs w:val="30"/>
        </w:rPr>
        <w:fldChar w:fldCharType="separate"/>
      </w:r>
      <w:r>
        <w:rPr>
          <w:rFonts w:ascii="Times New Roman" w:hAnsi="Times New Roman" w:cs="Times New Roman"/>
          <w:sz w:val="30"/>
          <w:szCs w:val="30"/>
        </w:rPr>
        <w:t>27</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43CB6387">
      <w:pPr>
        <w:pStyle w:val="5"/>
        <w:tabs>
          <w:tab w:val="right" w:leader="dot" w:pos="9016"/>
        </w:tabs>
        <w:rPr>
          <w:rFonts w:ascii="Times New Roman" w:hAnsi="Times New Roman" w:cs="Times New Roman"/>
          <w:sz w:val="30"/>
          <w:szCs w:val="30"/>
        </w:rPr>
      </w:pPr>
      <w:r>
        <w:fldChar w:fldCharType="begin"/>
      </w:r>
      <w:r>
        <w:instrText xml:space="preserve"> HYPERLINK \l "_Toc237847427" </w:instrText>
      </w:r>
      <w:r>
        <w:fldChar w:fldCharType="separate"/>
      </w:r>
      <w:r>
        <w:rPr>
          <w:rStyle w:val="8"/>
          <w:rFonts w:ascii="Times New Roman" w:hAnsi="Times New Roman" w:eastAsia="仿宋" w:cs="Times New Roman"/>
          <w:b/>
          <w:sz w:val="30"/>
          <w:szCs w:val="30"/>
        </w:rPr>
        <w:t>（四）构建市县二级卫生监督体系</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_Toc237847427 \h </w:instrText>
      </w:r>
      <w:r>
        <w:rPr>
          <w:rFonts w:ascii="Times New Roman" w:hAnsi="Times New Roman" w:cs="Times New Roman"/>
          <w:sz w:val="30"/>
          <w:szCs w:val="30"/>
        </w:rPr>
        <w:fldChar w:fldCharType="separate"/>
      </w:r>
      <w:r>
        <w:rPr>
          <w:rFonts w:ascii="Times New Roman" w:hAnsi="Times New Roman" w:cs="Times New Roman"/>
          <w:sz w:val="30"/>
          <w:szCs w:val="30"/>
        </w:rPr>
        <w:t>30</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5E00A5AA">
      <w:pPr>
        <w:pStyle w:val="4"/>
        <w:rPr>
          <w:rFonts w:ascii="Times New Roman" w:hAnsi="Times New Roman" w:cs="Times New Roman"/>
        </w:rPr>
      </w:pPr>
      <w:r>
        <w:fldChar w:fldCharType="begin"/>
      </w:r>
      <w:r>
        <w:instrText xml:space="preserve"> HYPERLINK \l "_Toc237847428" </w:instrText>
      </w:r>
      <w:r>
        <w:fldChar w:fldCharType="separate"/>
      </w:r>
      <w:r>
        <w:rPr>
          <w:rStyle w:val="8"/>
          <w:rFonts w:ascii="Times New Roman" w:hAnsi="Times New Roman" w:cs="Times New Roman"/>
          <w:kern w:val="44"/>
        </w:rPr>
        <w:t>五、提升医疗服务品质和能力</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_Toc237847428 \h </w:instrText>
      </w:r>
      <w:r>
        <w:rPr>
          <w:rFonts w:ascii="Times New Roman" w:hAnsi="Times New Roman" w:cs="Times New Roman"/>
        </w:rPr>
        <w:fldChar w:fldCharType="separate"/>
      </w:r>
      <w:r>
        <w:rPr>
          <w:rFonts w:ascii="Times New Roman" w:hAnsi="Times New Roman" w:cs="Times New Roman"/>
        </w:rPr>
        <w:t>31</w:t>
      </w:r>
      <w:r>
        <w:rPr>
          <w:rFonts w:ascii="Times New Roman" w:hAnsi="Times New Roman" w:cs="Times New Roman"/>
        </w:rPr>
        <w:fldChar w:fldCharType="end"/>
      </w:r>
      <w:r>
        <w:rPr>
          <w:rFonts w:ascii="Times New Roman" w:hAnsi="Times New Roman" w:cs="Times New Roman"/>
        </w:rPr>
        <w:fldChar w:fldCharType="end"/>
      </w:r>
    </w:p>
    <w:p w14:paraId="0B91FE05">
      <w:pPr>
        <w:pStyle w:val="5"/>
        <w:tabs>
          <w:tab w:val="right" w:leader="dot" w:pos="9016"/>
        </w:tabs>
        <w:rPr>
          <w:rFonts w:ascii="Times New Roman" w:hAnsi="Times New Roman" w:cs="Times New Roman"/>
          <w:sz w:val="30"/>
          <w:szCs w:val="30"/>
        </w:rPr>
      </w:pPr>
      <w:r>
        <w:fldChar w:fldCharType="begin"/>
      </w:r>
      <w:r>
        <w:instrText xml:space="preserve"> HYPERLINK \l "_Toc237847429" </w:instrText>
      </w:r>
      <w:r>
        <w:fldChar w:fldCharType="separate"/>
      </w:r>
      <w:r>
        <w:rPr>
          <w:rStyle w:val="8"/>
          <w:rFonts w:ascii="Times New Roman" w:hAnsi="Times New Roman" w:eastAsia="仿宋" w:cs="Times New Roman"/>
          <w:b/>
          <w:sz w:val="30"/>
          <w:szCs w:val="30"/>
        </w:rPr>
        <w:t>（一）构建优质高效整合型医疗服务体系</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_Toc237847429 \h </w:instrText>
      </w:r>
      <w:r>
        <w:rPr>
          <w:rFonts w:ascii="Times New Roman" w:hAnsi="Times New Roman" w:cs="Times New Roman"/>
          <w:sz w:val="30"/>
          <w:szCs w:val="30"/>
        </w:rPr>
        <w:fldChar w:fldCharType="separate"/>
      </w:r>
      <w:r>
        <w:rPr>
          <w:rFonts w:ascii="Times New Roman" w:hAnsi="Times New Roman" w:cs="Times New Roman"/>
          <w:sz w:val="30"/>
          <w:szCs w:val="30"/>
        </w:rPr>
        <w:t>31</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0535E592">
      <w:pPr>
        <w:pStyle w:val="5"/>
        <w:tabs>
          <w:tab w:val="right" w:leader="dot" w:pos="9016"/>
        </w:tabs>
        <w:rPr>
          <w:rFonts w:ascii="Times New Roman" w:hAnsi="Times New Roman" w:cs="Times New Roman"/>
          <w:sz w:val="30"/>
          <w:szCs w:val="30"/>
        </w:rPr>
      </w:pPr>
      <w:r>
        <w:fldChar w:fldCharType="begin"/>
      </w:r>
      <w:r>
        <w:instrText xml:space="preserve"> HYPERLINK \l "_Toc237847430" </w:instrText>
      </w:r>
      <w:r>
        <w:fldChar w:fldCharType="separate"/>
      </w:r>
      <w:r>
        <w:rPr>
          <w:rStyle w:val="8"/>
          <w:rFonts w:ascii="Times New Roman" w:hAnsi="Times New Roman" w:eastAsia="仿宋" w:cs="Times New Roman"/>
          <w:b/>
          <w:sz w:val="30"/>
          <w:szCs w:val="30"/>
        </w:rPr>
        <w:t>（二）强基固本筑牢基层服务网底</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_Toc237847430 \h </w:instrText>
      </w:r>
      <w:r>
        <w:rPr>
          <w:rFonts w:ascii="Times New Roman" w:hAnsi="Times New Roman" w:cs="Times New Roman"/>
          <w:sz w:val="30"/>
          <w:szCs w:val="30"/>
        </w:rPr>
        <w:fldChar w:fldCharType="separate"/>
      </w:r>
      <w:r>
        <w:rPr>
          <w:rFonts w:ascii="Times New Roman" w:hAnsi="Times New Roman" w:cs="Times New Roman"/>
          <w:sz w:val="30"/>
          <w:szCs w:val="30"/>
        </w:rPr>
        <w:t>36</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44B77A3D">
      <w:pPr>
        <w:pStyle w:val="5"/>
        <w:tabs>
          <w:tab w:val="right" w:leader="dot" w:pos="9016"/>
        </w:tabs>
        <w:rPr>
          <w:rFonts w:ascii="Times New Roman" w:hAnsi="Times New Roman" w:cs="Times New Roman"/>
          <w:sz w:val="30"/>
          <w:szCs w:val="30"/>
        </w:rPr>
      </w:pPr>
      <w:r>
        <w:fldChar w:fldCharType="begin"/>
      </w:r>
      <w:r>
        <w:instrText xml:space="preserve"> HYPERLINK \l "_Toc237847431" </w:instrText>
      </w:r>
      <w:r>
        <w:fldChar w:fldCharType="separate"/>
      </w:r>
      <w:r>
        <w:rPr>
          <w:rStyle w:val="8"/>
          <w:rFonts w:ascii="Times New Roman" w:hAnsi="Times New Roman" w:eastAsia="仿宋" w:cs="Times New Roman"/>
          <w:b/>
          <w:sz w:val="30"/>
          <w:szCs w:val="30"/>
        </w:rPr>
        <w:t>（三）注重对口援藏协作，持续巩固乡村振兴成果</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_Toc237847431 \h </w:instrText>
      </w:r>
      <w:r>
        <w:rPr>
          <w:rFonts w:ascii="Times New Roman" w:hAnsi="Times New Roman" w:cs="Times New Roman"/>
          <w:sz w:val="30"/>
          <w:szCs w:val="30"/>
        </w:rPr>
        <w:fldChar w:fldCharType="separate"/>
      </w:r>
      <w:r>
        <w:rPr>
          <w:rFonts w:ascii="Times New Roman" w:hAnsi="Times New Roman" w:cs="Times New Roman"/>
          <w:sz w:val="30"/>
          <w:szCs w:val="30"/>
        </w:rPr>
        <w:t>39</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65BC2057">
      <w:pPr>
        <w:pStyle w:val="4"/>
        <w:rPr>
          <w:rFonts w:ascii="Times New Roman" w:hAnsi="Times New Roman" w:cs="Times New Roman"/>
        </w:rPr>
      </w:pPr>
      <w:r>
        <w:fldChar w:fldCharType="begin"/>
      </w:r>
      <w:r>
        <w:instrText xml:space="preserve"> HYPERLINK \l "_Toc237847432" </w:instrText>
      </w:r>
      <w:r>
        <w:fldChar w:fldCharType="separate"/>
      </w:r>
      <w:r>
        <w:rPr>
          <w:rStyle w:val="8"/>
          <w:rFonts w:ascii="Times New Roman" w:hAnsi="Times New Roman" w:cs="Times New Roman"/>
          <w:kern w:val="44"/>
        </w:rPr>
        <w:t>六、推动藏医药振兴发展</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_Toc237847432 \h </w:instrText>
      </w:r>
      <w:r>
        <w:rPr>
          <w:rFonts w:ascii="Times New Roman" w:hAnsi="Times New Roman" w:cs="Times New Roman"/>
        </w:rPr>
        <w:fldChar w:fldCharType="separate"/>
      </w:r>
      <w:r>
        <w:rPr>
          <w:rFonts w:ascii="Times New Roman" w:hAnsi="Times New Roman" w:cs="Times New Roman"/>
        </w:rPr>
        <w:t>40</w:t>
      </w:r>
      <w:r>
        <w:rPr>
          <w:rFonts w:ascii="Times New Roman" w:hAnsi="Times New Roman" w:cs="Times New Roman"/>
        </w:rPr>
        <w:fldChar w:fldCharType="end"/>
      </w:r>
      <w:r>
        <w:rPr>
          <w:rFonts w:ascii="Times New Roman" w:hAnsi="Times New Roman" w:cs="Times New Roman"/>
        </w:rPr>
        <w:fldChar w:fldCharType="end"/>
      </w:r>
    </w:p>
    <w:p w14:paraId="68E253FE">
      <w:pPr>
        <w:pStyle w:val="5"/>
        <w:tabs>
          <w:tab w:val="right" w:leader="dot" w:pos="9016"/>
        </w:tabs>
        <w:rPr>
          <w:rFonts w:ascii="Times New Roman" w:hAnsi="Times New Roman" w:cs="Times New Roman"/>
          <w:sz w:val="30"/>
          <w:szCs w:val="30"/>
        </w:rPr>
      </w:pPr>
      <w:r>
        <w:fldChar w:fldCharType="begin"/>
      </w:r>
      <w:r>
        <w:instrText xml:space="preserve"> HYPERLINK \l "_Toc237847433" </w:instrText>
      </w:r>
      <w:r>
        <w:fldChar w:fldCharType="separate"/>
      </w:r>
      <w:r>
        <w:rPr>
          <w:rStyle w:val="8"/>
          <w:rFonts w:ascii="Times New Roman" w:hAnsi="Times New Roman" w:eastAsia="仿宋" w:cs="Times New Roman"/>
          <w:b/>
          <w:sz w:val="30"/>
          <w:szCs w:val="30"/>
        </w:rPr>
        <w:t>（一）健全藏医药领域议事机制</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_Toc237847433 \h </w:instrText>
      </w:r>
      <w:r>
        <w:rPr>
          <w:rFonts w:ascii="Times New Roman" w:hAnsi="Times New Roman" w:cs="Times New Roman"/>
          <w:sz w:val="30"/>
          <w:szCs w:val="30"/>
        </w:rPr>
        <w:fldChar w:fldCharType="separate"/>
      </w:r>
      <w:r>
        <w:rPr>
          <w:rFonts w:ascii="Times New Roman" w:hAnsi="Times New Roman" w:cs="Times New Roman"/>
          <w:sz w:val="30"/>
          <w:szCs w:val="30"/>
        </w:rPr>
        <w:t>40</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79DD0749">
      <w:pPr>
        <w:pStyle w:val="5"/>
        <w:tabs>
          <w:tab w:val="right" w:leader="dot" w:pos="9016"/>
        </w:tabs>
        <w:rPr>
          <w:rFonts w:ascii="Times New Roman" w:hAnsi="Times New Roman" w:cs="Times New Roman"/>
          <w:sz w:val="30"/>
          <w:szCs w:val="30"/>
        </w:rPr>
      </w:pPr>
      <w:r>
        <w:fldChar w:fldCharType="begin"/>
      </w:r>
      <w:r>
        <w:instrText xml:space="preserve"> HYPERLINK \l "_Toc237847434" </w:instrText>
      </w:r>
      <w:r>
        <w:fldChar w:fldCharType="separate"/>
      </w:r>
      <w:r>
        <w:rPr>
          <w:rStyle w:val="8"/>
          <w:rFonts w:ascii="Times New Roman" w:hAnsi="Times New Roman" w:eastAsia="仿宋" w:cs="Times New Roman"/>
          <w:b/>
          <w:sz w:val="30"/>
          <w:szCs w:val="30"/>
        </w:rPr>
        <w:t>（二）强化藏医药服务体系</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_Toc237847434 \h </w:instrText>
      </w:r>
      <w:r>
        <w:rPr>
          <w:rFonts w:ascii="Times New Roman" w:hAnsi="Times New Roman" w:cs="Times New Roman"/>
          <w:sz w:val="30"/>
          <w:szCs w:val="30"/>
        </w:rPr>
        <w:fldChar w:fldCharType="separate"/>
      </w:r>
      <w:r>
        <w:rPr>
          <w:rFonts w:ascii="Times New Roman" w:hAnsi="Times New Roman" w:cs="Times New Roman"/>
          <w:sz w:val="30"/>
          <w:szCs w:val="30"/>
        </w:rPr>
        <w:t>40</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5383245B">
      <w:pPr>
        <w:pStyle w:val="5"/>
        <w:tabs>
          <w:tab w:val="right" w:leader="dot" w:pos="9016"/>
        </w:tabs>
        <w:rPr>
          <w:rFonts w:ascii="Times New Roman" w:hAnsi="Times New Roman" w:cs="Times New Roman"/>
          <w:sz w:val="30"/>
          <w:szCs w:val="30"/>
        </w:rPr>
      </w:pPr>
      <w:r>
        <w:fldChar w:fldCharType="begin"/>
      </w:r>
      <w:r>
        <w:instrText xml:space="preserve"> HYPERLINK \l "_Toc237847435" </w:instrText>
      </w:r>
      <w:r>
        <w:fldChar w:fldCharType="separate"/>
      </w:r>
      <w:r>
        <w:rPr>
          <w:rStyle w:val="8"/>
          <w:rFonts w:ascii="Times New Roman" w:hAnsi="Times New Roman" w:eastAsia="仿宋" w:cs="Times New Roman"/>
          <w:b/>
          <w:sz w:val="30"/>
          <w:szCs w:val="30"/>
        </w:rPr>
        <w:t>（三）加快藏医药传承创新发展</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_Toc237847435 \h </w:instrText>
      </w:r>
      <w:r>
        <w:rPr>
          <w:rFonts w:ascii="Times New Roman" w:hAnsi="Times New Roman" w:cs="Times New Roman"/>
          <w:sz w:val="30"/>
          <w:szCs w:val="30"/>
        </w:rPr>
        <w:fldChar w:fldCharType="separate"/>
      </w:r>
      <w:r>
        <w:rPr>
          <w:rFonts w:ascii="Times New Roman" w:hAnsi="Times New Roman" w:cs="Times New Roman"/>
          <w:sz w:val="30"/>
          <w:szCs w:val="30"/>
        </w:rPr>
        <w:t>41</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51FF594E">
      <w:pPr>
        <w:pStyle w:val="5"/>
        <w:tabs>
          <w:tab w:val="right" w:leader="dot" w:pos="9016"/>
        </w:tabs>
        <w:rPr>
          <w:rFonts w:ascii="Times New Roman" w:hAnsi="Times New Roman" w:cs="Times New Roman"/>
          <w:sz w:val="30"/>
          <w:szCs w:val="30"/>
        </w:rPr>
      </w:pPr>
      <w:r>
        <w:fldChar w:fldCharType="begin"/>
      </w:r>
      <w:r>
        <w:instrText xml:space="preserve"> HYPERLINK \l "_Toc237847436" </w:instrText>
      </w:r>
      <w:r>
        <w:fldChar w:fldCharType="separate"/>
      </w:r>
      <w:r>
        <w:rPr>
          <w:rStyle w:val="8"/>
          <w:rFonts w:ascii="Times New Roman" w:hAnsi="Times New Roman" w:eastAsia="仿宋" w:cs="Times New Roman"/>
          <w:b/>
          <w:sz w:val="30"/>
          <w:szCs w:val="30"/>
        </w:rPr>
        <w:t>（四）促进藏医药产业融合发展</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_Toc237847436 \h </w:instrText>
      </w:r>
      <w:r>
        <w:rPr>
          <w:rFonts w:ascii="Times New Roman" w:hAnsi="Times New Roman" w:cs="Times New Roman"/>
          <w:sz w:val="30"/>
          <w:szCs w:val="30"/>
        </w:rPr>
        <w:fldChar w:fldCharType="separate"/>
      </w:r>
      <w:r>
        <w:rPr>
          <w:rFonts w:ascii="Times New Roman" w:hAnsi="Times New Roman" w:cs="Times New Roman"/>
          <w:sz w:val="30"/>
          <w:szCs w:val="30"/>
        </w:rPr>
        <w:t>44</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3E185816">
      <w:pPr>
        <w:pStyle w:val="4"/>
        <w:rPr>
          <w:rFonts w:ascii="Times New Roman" w:hAnsi="Times New Roman" w:cs="Times New Roman"/>
        </w:rPr>
      </w:pPr>
      <w:r>
        <w:fldChar w:fldCharType="begin"/>
      </w:r>
      <w:r>
        <w:instrText xml:space="preserve"> HYPERLINK \l "_Toc237847437" </w:instrText>
      </w:r>
      <w:r>
        <w:fldChar w:fldCharType="separate"/>
      </w:r>
      <w:r>
        <w:rPr>
          <w:rStyle w:val="8"/>
          <w:rFonts w:ascii="Times New Roman" w:hAnsi="Times New Roman" w:cs="Times New Roman"/>
          <w:kern w:val="44"/>
        </w:rPr>
        <w:t>七、深化医药卫生体制改革</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_Toc237847437 \h </w:instrText>
      </w:r>
      <w:r>
        <w:rPr>
          <w:rFonts w:ascii="Times New Roman" w:hAnsi="Times New Roman" w:cs="Times New Roman"/>
        </w:rPr>
        <w:fldChar w:fldCharType="separate"/>
      </w:r>
      <w:r>
        <w:rPr>
          <w:rFonts w:ascii="Times New Roman" w:hAnsi="Times New Roman" w:cs="Times New Roman"/>
        </w:rPr>
        <w:t>45</w:t>
      </w:r>
      <w:r>
        <w:rPr>
          <w:rFonts w:ascii="Times New Roman" w:hAnsi="Times New Roman" w:cs="Times New Roman"/>
        </w:rPr>
        <w:fldChar w:fldCharType="end"/>
      </w:r>
      <w:r>
        <w:rPr>
          <w:rFonts w:ascii="Times New Roman" w:hAnsi="Times New Roman" w:cs="Times New Roman"/>
        </w:rPr>
        <w:fldChar w:fldCharType="end"/>
      </w:r>
    </w:p>
    <w:p w14:paraId="682338BB">
      <w:pPr>
        <w:pStyle w:val="5"/>
        <w:tabs>
          <w:tab w:val="right" w:leader="dot" w:pos="9016"/>
        </w:tabs>
        <w:rPr>
          <w:rFonts w:ascii="Times New Roman" w:hAnsi="Times New Roman" w:cs="Times New Roman"/>
          <w:sz w:val="30"/>
          <w:szCs w:val="30"/>
        </w:rPr>
      </w:pPr>
      <w:r>
        <w:fldChar w:fldCharType="begin"/>
      </w:r>
      <w:r>
        <w:instrText xml:space="preserve"> HYPERLINK \l "_Toc237847438" </w:instrText>
      </w:r>
      <w:r>
        <w:fldChar w:fldCharType="separate"/>
      </w:r>
      <w:r>
        <w:rPr>
          <w:rStyle w:val="8"/>
          <w:rFonts w:ascii="Times New Roman" w:hAnsi="Times New Roman" w:eastAsia="仿宋" w:cs="Times New Roman"/>
          <w:b/>
          <w:sz w:val="30"/>
          <w:szCs w:val="30"/>
        </w:rPr>
        <w:t>（一）推动“三医”协同发展和治理</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_Toc237847438 \h </w:instrText>
      </w:r>
      <w:r>
        <w:rPr>
          <w:rFonts w:ascii="Times New Roman" w:hAnsi="Times New Roman" w:cs="Times New Roman"/>
          <w:sz w:val="30"/>
          <w:szCs w:val="30"/>
        </w:rPr>
        <w:fldChar w:fldCharType="separate"/>
      </w:r>
      <w:r>
        <w:rPr>
          <w:rFonts w:ascii="Times New Roman" w:hAnsi="Times New Roman" w:cs="Times New Roman"/>
          <w:sz w:val="30"/>
          <w:szCs w:val="30"/>
        </w:rPr>
        <w:t>45</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74F64ECA">
      <w:pPr>
        <w:pStyle w:val="5"/>
        <w:tabs>
          <w:tab w:val="right" w:leader="dot" w:pos="9016"/>
        </w:tabs>
        <w:rPr>
          <w:rFonts w:ascii="Times New Roman" w:hAnsi="Times New Roman" w:cs="Times New Roman"/>
          <w:sz w:val="30"/>
          <w:szCs w:val="30"/>
        </w:rPr>
      </w:pPr>
      <w:r>
        <w:fldChar w:fldCharType="begin"/>
      </w:r>
      <w:r>
        <w:instrText xml:space="preserve"> HYPERLINK \l "_Toc237847439" </w:instrText>
      </w:r>
      <w:r>
        <w:fldChar w:fldCharType="separate"/>
      </w:r>
      <w:r>
        <w:rPr>
          <w:rStyle w:val="8"/>
          <w:rFonts w:ascii="Times New Roman" w:hAnsi="Times New Roman" w:eastAsia="仿宋" w:cs="Times New Roman"/>
          <w:b/>
          <w:sz w:val="30"/>
          <w:szCs w:val="30"/>
        </w:rPr>
        <w:t>（二）加快建设分级诊疗体系</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_Toc237847439 \h </w:instrText>
      </w:r>
      <w:r>
        <w:rPr>
          <w:rFonts w:ascii="Times New Roman" w:hAnsi="Times New Roman" w:cs="Times New Roman"/>
          <w:sz w:val="30"/>
          <w:szCs w:val="30"/>
        </w:rPr>
        <w:fldChar w:fldCharType="separate"/>
      </w:r>
      <w:r>
        <w:rPr>
          <w:rFonts w:ascii="Times New Roman" w:hAnsi="Times New Roman" w:cs="Times New Roman"/>
          <w:sz w:val="30"/>
          <w:szCs w:val="30"/>
        </w:rPr>
        <w:t>47</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48BD1635">
      <w:pPr>
        <w:pStyle w:val="5"/>
        <w:tabs>
          <w:tab w:val="right" w:leader="dot" w:pos="9016"/>
        </w:tabs>
        <w:rPr>
          <w:rFonts w:ascii="Times New Roman" w:hAnsi="Times New Roman" w:cs="Times New Roman"/>
          <w:sz w:val="30"/>
          <w:szCs w:val="30"/>
        </w:rPr>
      </w:pPr>
      <w:r>
        <w:fldChar w:fldCharType="begin"/>
      </w:r>
      <w:r>
        <w:instrText xml:space="preserve"> HYPERLINK \l "_Toc237847440" </w:instrText>
      </w:r>
      <w:r>
        <w:fldChar w:fldCharType="separate"/>
      </w:r>
      <w:r>
        <w:rPr>
          <w:rStyle w:val="8"/>
          <w:rFonts w:ascii="Times New Roman" w:hAnsi="Times New Roman" w:eastAsia="仿宋" w:cs="Times New Roman"/>
          <w:b/>
          <w:sz w:val="30"/>
          <w:szCs w:val="30"/>
        </w:rPr>
        <w:t>（三）推动公立医院高质量发展</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_Toc237847440 \h </w:instrText>
      </w:r>
      <w:r>
        <w:rPr>
          <w:rFonts w:ascii="Times New Roman" w:hAnsi="Times New Roman" w:cs="Times New Roman"/>
          <w:sz w:val="30"/>
          <w:szCs w:val="30"/>
        </w:rPr>
        <w:fldChar w:fldCharType="separate"/>
      </w:r>
      <w:r>
        <w:rPr>
          <w:rFonts w:ascii="Times New Roman" w:hAnsi="Times New Roman" w:cs="Times New Roman"/>
          <w:sz w:val="30"/>
          <w:szCs w:val="30"/>
        </w:rPr>
        <w:t>47</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69FDDA20">
      <w:pPr>
        <w:pStyle w:val="5"/>
        <w:tabs>
          <w:tab w:val="right" w:leader="dot" w:pos="9016"/>
        </w:tabs>
        <w:rPr>
          <w:rFonts w:ascii="Times New Roman" w:hAnsi="Times New Roman" w:cs="Times New Roman"/>
          <w:sz w:val="30"/>
          <w:szCs w:val="30"/>
        </w:rPr>
      </w:pPr>
      <w:r>
        <w:fldChar w:fldCharType="begin"/>
      </w:r>
      <w:r>
        <w:instrText xml:space="preserve"> HYPERLINK \l "_Toc237847441" </w:instrText>
      </w:r>
      <w:r>
        <w:fldChar w:fldCharType="separate"/>
      </w:r>
      <w:r>
        <w:rPr>
          <w:rStyle w:val="8"/>
          <w:rFonts w:ascii="Times New Roman" w:hAnsi="Times New Roman" w:eastAsia="仿宋" w:cs="Times New Roman"/>
          <w:b/>
          <w:sz w:val="30"/>
          <w:szCs w:val="30"/>
        </w:rPr>
        <w:t>（四）引导规范社会办医健康发展</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_Toc237847441 \h </w:instrText>
      </w:r>
      <w:r>
        <w:rPr>
          <w:rFonts w:ascii="Times New Roman" w:hAnsi="Times New Roman" w:cs="Times New Roman"/>
          <w:sz w:val="30"/>
          <w:szCs w:val="30"/>
        </w:rPr>
        <w:fldChar w:fldCharType="separate"/>
      </w:r>
      <w:r>
        <w:rPr>
          <w:rFonts w:ascii="Times New Roman" w:hAnsi="Times New Roman" w:cs="Times New Roman"/>
          <w:sz w:val="30"/>
          <w:szCs w:val="30"/>
        </w:rPr>
        <w:t>49</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1EA8C09C">
      <w:pPr>
        <w:pStyle w:val="4"/>
        <w:rPr>
          <w:rFonts w:ascii="Times New Roman" w:hAnsi="Times New Roman" w:cs="Times New Roman"/>
        </w:rPr>
      </w:pPr>
      <w:r>
        <w:fldChar w:fldCharType="begin"/>
      </w:r>
      <w:r>
        <w:instrText xml:space="preserve"> HYPERLINK \l "_Toc237847442" </w:instrText>
      </w:r>
      <w:r>
        <w:fldChar w:fldCharType="separate"/>
      </w:r>
      <w:r>
        <w:rPr>
          <w:rStyle w:val="8"/>
          <w:rFonts w:ascii="Times New Roman" w:hAnsi="Times New Roman" w:cs="Times New Roman"/>
          <w:kern w:val="44"/>
        </w:rPr>
        <w:t>八、促进健康产业发展</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_Toc237847442 \h </w:instrText>
      </w:r>
      <w:r>
        <w:rPr>
          <w:rFonts w:ascii="Times New Roman" w:hAnsi="Times New Roman" w:cs="Times New Roman"/>
        </w:rPr>
        <w:fldChar w:fldCharType="separate"/>
      </w:r>
      <w:r>
        <w:rPr>
          <w:rFonts w:ascii="Times New Roman" w:hAnsi="Times New Roman" w:cs="Times New Roman"/>
        </w:rPr>
        <w:t>50</w:t>
      </w:r>
      <w:r>
        <w:rPr>
          <w:rFonts w:ascii="Times New Roman" w:hAnsi="Times New Roman" w:cs="Times New Roman"/>
        </w:rPr>
        <w:fldChar w:fldCharType="end"/>
      </w:r>
      <w:r>
        <w:rPr>
          <w:rFonts w:ascii="Times New Roman" w:hAnsi="Times New Roman" w:cs="Times New Roman"/>
        </w:rPr>
        <w:fldChar w:fldCharType="end"/>
      </w:r>
    </w:p>
    <w:p w14:paraId="042D716C">
      <w:pPr>
        <w:pStyle w:val="5"/>
        <w:tabs>
          <w:tab w:val="right" w:leader="dot" w:pos="9016"/>
        </w:tabs>
        <w:rPr>
          <w:rFonts w:ascii="Times New Roman" w:hAnsi="Times New Roman" w:cs="Times New Roman"/>
          <w:sz w:val="30"/>
          <w:szCs w:val="30"/>
        </w:rPr>
      </w:pPr>
      <w:r>
        <w:fldChar w:fldCharType="begin"/>
      </w:r>
      <w:r>
        <w:instrText xml:space="preserve"> HYPERLINK \l "_Toc237847443" </w:instrText>
      </w:r>
      <w:r>
        <w:fldChar w:fldCharType="separate"/>
      </w:r>
      <w:r>
        <w:rPr>
          <w:rStyle w:val="8"/>
          <w:rFonts w:ascii="Times New Roman" w:hAnsi="Times New Roman" w:eastAsia="仿宋" w:cs="Times New Roman"/>
          <w:b/>
          <w:sz w:val="30"/>
          <w:szCs w:val="30"/>
        </w:rPr>
        <w:t>（一）发展生物医药营养健康产业</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_Toc237847443 \h </w:instrText>
      </w:r>
      <w:r>
        <w:rPr>
          <w:rFonts w:ascii="Times New Roman" w:hAnsi="Times New Roman" w:cs="Times New Roman"/>
          <w:sz w:val="30"/>
          <w:szCs w:val="30"/>
        </w:rPr>
        <w:fldChar w:fldCharType="separate"/>
      </w:r>
      <w:r>
        <w:rPr>
          <w:rFonts w:ascii="Times New Roman" w:hAnsi="Times New Roman" w:cs="Times New Roman"/>
          <w:sz w:val="30"/>
          <w:szCs w:val="30"/>
        </w:rPr>
        <w:t>50</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07C12180">
      <w:pPr>
        <w:pStyle w:val="5"/>
        <w:tabs>
          <w:tab w:val="right" w:leader="dot" w:pos="9016"/>
        </w:tabs>
        <w:rPr>
          <w:rFonts w:ascii="Times New Roman" w:hAnsi="Times New Roman" w:cs="Times New Roman"/>
          <w:sz w:val="30"/>
          <w:szCs w:val="30"/>
        </w:rPr>
      </w:pPr>
      <w:r>
        <w:fldChar w:fldCharType="begin"/>
      </w:r>
      <w:r>
        <w:instrText xml:space="preserve"> HYPERLINK \l "_Toc237847444" </w:instrText>
      </w:r>
      <w:r>
        <w:fldChar w:fldCharType="separate"/>
      </w:r>
      <w:r>
        <w:rPr>
          <w:rStyle w:val="8"/>
          <w:rFonts w:ascii="Times New Roman" w:hAnsi="Times New Roman" w:eastAsia="仿宋" w:cs="Times New Roman"/>
          <w:b/>
          <w:sz w:val="30"/>
          <w:szCs w:val="30"/>
        </w:rPr>
        <w:t>（二）拓展健康服务新业态新领域</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_Toc237847444 \h </w:instrText>
      </w:r>
      <w:r>
        <w:rPr>
          <w:rFonts w:ascii="Times New Roman" w:hAnsi="Times New Roman" w:cs="Times New Roman"/>
          <w:sz w:val="30"/>
          <w:szCs w:val="30"/>
        </w:rPr>
        <w:fldChar w:fldCharType="separate"/>
      </w:r>
      <w:r>
        <w:rPr>
          <w:rFonts w:ascii="Times New Roman" w:hAnsi="Times New Roman" w:cs="Times New Roman"/>
          <w:sz w:val="30"/>
          <w:szCs w:val="30"/>
        </w:rPr>
        <w:t>50</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5BD0D28F">
      <w:pPr>
        <w:pStyle w:val="4"/>
        <w:rPr>
          <w:rFonts w:ascii="Times New Roman" w:hAnsi="Times New Roman" w:cs="Times New Roman"/>
        </w:rPr>
      </w:pPr>
      <w:r>
        <w:fldChar w:fldCharType="begin"/>
      </w:r>
      <w:r>
        <w:instrText xml:space="preserve"> HYPERLINK \l "_Toc237847445" </w:instrText>
      </w:r>
      <w:r>
        <w:fldChar w:fldCharType="separate"/>
      </w:r>
      <w:r>
        <w:rPr>
          <w:rStyle w:val="8"/>
          <w:rFonts w:ascii="Times New Roman" w:hAnsi="Times New Roman" w:cs="Times New Roman"/>
          <w:kern w:val="44"/>
        </w:rPr>
        <w:t>九、夯实事业发展基础</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_Toc237847445 \h </w:instrText>
      </w:r>
      <w:r>
        <w:rPr>
          <w:rFonts w:ascii="Times New Roman" w:hAnsi="Times New Roman" w:cs="Times New Roman"/>
        </w:rPr>
        <w:fldChar w:fldCharType="separate"/>
      </w:r>
      <w:r>
        <w:rPr>
          <w:rFonts w:ascii="Times New Roman" w:hAnsi="Times New Roman" w:cs="Times New Roman"/>
        </w:rPr>
        <w:t>51</w:t>
      </w:r>
      <w:r>
        <w:rPr>
          <w:rFonts w:ascii="Times New Roman" w:hAnsi="Times New Roman" w:cs="Times New Roman"/>
        </w:rPr>
        <w:fldChar w:fldCharType="end"/>
      </w:r>
      <w:r>
        <w:rPr>
          <w:rFonts w:ascii="Times New Roman" w:hAnsi="Times New Roman" w:cs="Times New Roman"/>
        </w:rPr>
        <w:fldChar w:fldCharType="end"/>
      </w:r>
    </w:p>
    <w:p w14:paraId="5A64D695">
      <w:pPr>
        <w:pStyle w:val="5"/>
        <w:tabs>
          <w:tab w:val="right" w:leader="dot" w:pos="9016"/>
        </w:tabs>
        <w:rPr>
          <w:rFonts w:ascii="Times New Roman" w:hAnsi="Times New Roman" w:cs="Times New Roman"/>
          <w:sz w:val="30"/>
          <w:szCs w:val="30"/>
        </w:rPr>
      </w:pPr>
      <w:r>
        <w:fldChar w:fldCharType="begin"/>
      </w:r>
      <w:r>
        <w:instrText xml:space="preserve"> HYPERLINK \l "_Toc237847446" </w:instrText>
      </w:r>
      <w:r>
        <w:fldChar w:fldCharType="separate"/>
      </w:r>
      <w:r>
        <w:rPr>
          <w:rStyle w:val="8"/>
          <w:rFonts w:ascii="Times New Roman" w:hAnsi="Times New Roman" w:eastAsia="仿宋" w:cs="Times New Roman"/>
          <w:b/>
          <w:sz w:val="30"/>
          <w:szCs w:val="30"/>
        </w:rPr>
        <w:t>（一）加强人才队伍建设</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_Toc237847446 \h </w:instrText>
      </w:r>
      <w:r>
        <w:rPr>
          <w:rFonts w:ascii="Times New Roman" w:hAnsi="Times New Roman" w:cs="Times New Roman"/>
          <w:sz w:val="30"/>
          <w:szCs w:val="30"/>
        </w:rPr>
        <w:fldChar w:fldCharType="separate"/>
      </w:r>
      <w:r>
        <w:rPr>
          <w:rFonts w:ascii="Times New Roman" w:hAnsi="Times New Roman" w:cs="Times New Roman"/>
          <w:sz w:val="30"/>
          <w:szCs w:val="30"/>
        </w:rPr>
        <w:t>51</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2499C2E0">
      <w:pPr>
        <w:pStyle w:val="5"/>
        <w:tabs>
          <w:tab w:val="right" w:leader="dot" w:pos="9016"/>
        </w:tabs>
        <w:rPr>
          <w:rFonts w:ascii="Times New Roman" w:hAnsi="Times New Roman" w:cs="Times New Roman"/>
          <w:sz w:val="30"/>
          <w:szCs w:val="30"/>
        </w:rPr>
      </w:pPr>
      <w:r>
        <w:fldChar w:fldCharType="begin"/>
      </w:r>
      <w:r>
        <w:instrText xml:space="preserve"> HYPERLINK \l "_Toc237847447" </w:instrText>
      </w:r>
      <w:r>
        <w:fldChar w:fldCharType="separate"/>
      </w:r>
      <w:r>
        <w:rPr>
          <w:rStyle w:val="8"/>
          <w:rFonts w:ascii="Times New Roman" w:hAnsi="Times New Roman" w:eastAsia="仿宋" w:cs="Times New Roman"/>
          <w:b/>
          <w:sz w:val="30"/>
          <w:szCs w:val="30"/>
        </w:rPr>
        <w:t>（二）推动医教研协同创新</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_Toc237847447 \h </w:instrText>
      </w:r>
      <w:r>
        <w:rPr>
          <w:rFonts w:ascii="Times New Roman" w:hAnsi="Times New Roman" w:cs="Times New Roman"/>
          <w:sz w:val="30"/>
          <w:szCs w:val="30"/>
        </w:rPr>
        <w:fldChar w:fldCharType="separate"/>
      </w:r>
      <w:r>
        <w:rPr>
          <w:rFonts w:ascii="Times New Roman" w:hAnsi="Times New Roman" w:cs="Times New Roman"/>
          <w:sz w:val="30"/>
          <w:szCs w:val="30"/>
        </w:rPr>
        <w:t>53</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372A0F2D">
      <w:pPr>
        <w:pStyle w:val="5"/>
        <w:tabs>
          <w:tab w:val="right" w:leader="dot" w:pos="9016"/>
        </w:tabs>
        <w:rPr>
          <w:rFonts w:ascii="Times New Roman" w:hAnsi="Times New Roman" w:cs="Times New Roman"/>
          <w:sz w:val="30"/>
          <w:szCs w:val="30"/>
        </w:rPr>
      </w:pPr>
      <w:r>
        <w:fldChar w:fldCharType="begin"/>
      </w:r>
      <w:r>
        <w:instrText xml:space="preserve"> HYPERLINK \l "_Toc237847448" </w:instrText>
      </w:r>
      <w:r>
        <w:fldChar w:fldCharType="separate"/>
      </w:r>
      <w:r>
        <w:rPr>
          <w:rStyle w:val="8"/>
          <w:rFonts w:ascii="Times New Roman" w:hAnsi="Times New Roman" w:eastAsia="仿宋" w:cs="Times New Roman"/>
          <w:b/>
          <w:sz w:val="30"/>
          <w:szCs w:val="30"/>
        </w:rPr>
        <w:t>（三）提升依法治理水平</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_Toc237847448 \h </w:instrText>
      </w:r>
      <w:r>
        <w:rPr>
          <w:rFonts w:ascii="Times New Roman" w:hAnsi="Times New Roman" w:cs="Times New Roman"/>
          <w:sz w:val="30"/>
          <w:szCs w:val="30"/>
        </w:rPr>
        <w:fldChar w:fldCharType="separate"/>
      </w:r>
      <w:r>
        <w:rPr>
          <w:rFonts w:ascii="Times New Roman" w:hAnsi="Times New Roman" w:cs="Times New Roman"/>
          <w:sz w:val="30"/>
          <w:szCs w:val="30"/>
        </w:rPr>
        <w:t>54</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3822CF91">
      <w:pPr>
        <w:pStyle w:val="5"/>
        <w:tabs>
          <w:tab w:val="right" w:leader="dot" w:pos="9016"/>
        </w:tabs>
        <w:rPr>
          <w:rFonts w:ascii="Times New Roman" w:hAnsi="Times New Roman" w:cs="Times New Roman"/>
          <w:sz w:val="30"/>
          <w:szCs w:val="30"/>
        </w:rPr>
      </w:pPr>
      <w:r>
        <w:fldChar w:fldCharType="begin"/>
      </w:r>
      <w:r>
        <w:instrText xml:space="preserve"> HYPERLINK \l "_Toc237847449" </w:instrText>
      </w:r>
      <w:r>
        <w:fldChar w:fldCharType="separate"/>
      </w:r>
      <w:r>
        <w:rPr>
          <w:rStyle w:val="8"/>
          <w:rFonts w:ascii="Times New Roman" w:hAnsi="Times New Roman" w:eastAsia="仿宋" w:cs="Times New Roman"/>
          <w:b/>
          <w:sz w:val="30"/>
          <w:szCs w:val="30"/>
        </w:rPr>
        <w:t>（四）推动全民健康数智化转型</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_Toc237847449 \h </w:instrText>
      </w:r>
      <w:r>
        <w:rPr>
          <w:rFonts w:ascii="Times New Roman" w:hAnsi="Times New Roman" w:cs="Times New Roman"/>
          <w:sz w:val="30"/>
          <w:szCs w:val="30"/>
        </w:rPr>
        <w:fldChar w:fldCharType="separate"/>
      </w:r>
      <w:r>
        <w:rPr>
          <w:rFonts w:ascii="Times New Roman" w:hAnsi="Times New Roman" w:cs="Times New Roman"/>
          <w:sz w:val="30"/>
          <w:szCs w:val="30"/>
        </w:rPr>
        <w:t>55</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44C0C76D">
      <w:pPr>
        <w:pStyle w:val="4"/>
        <w:rPr>
          <w:rFonts w:ascii="Times New Roman" w:hAnsi="Times New Roman" w:cs="Times New Roman"/>
        </w:rPr>
      </w:pPr>
      <w:r>
        <w:fldChar w:fldCharType="begin"/>
      </w:r>
      <w:r>
        <w:instrText xml:space="preserve"> HYPERLINK \l "_Toc237847450" </w:instrText>
      </w:r>
      <w:r>
        <w:fldChar w:fldCharType="separate"/>
      </w:r>
      <w:r>
        <w:rPr>
          <w:rStyle w:val="8"/>
          <w:rFonts w:ascii="Times New Roman" w:hAnsi="Times New Roman" w:cs="Times New Roman"/>
          <w:kern w:val="44"/>
        </w:rPr>
        <w:t>十、保障措施</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_Toc237847450 \h </w:instrText>
      </w:r>
      <w:r>
        <w:rPr>
          <w:rFonts w:ascii="Times New Roman" w:hAnsi="Times New Roman" w:cs="Times New Roman"/>
        </w:rPr>
        <w:fldChar w:fldCharType="separate"/>
      </w:r>
      <w:r>
        <w:rPr>
          <w:rFonts w:ascii="Times New Roman" w:hAnsi="Times New Roman" w:cs="Times New Roman"/>
        </w:rPr>
        <w:t>56</w:t>
      </w:r>
      <w:r>
        <w:rPr>
          <w:rFonts w:ascii="Times New Roman" w:hAnsi="Times New Roman" w:cs="Times New Roman"/>
        </w:rPr>
        <w:fldChar w:fldCharType="end"/>
      </w:r>
      <w:r>
        <w:rPr>
          <w:rFonts w:ascii="Times New Roman" w:hAnsi="Times New Roman" w:cs="Times New Roman"/>
        </w:rPr>
        <w:fldChar w:fldCharType="end"/>
      </w:r>
    </w:p>
    <w:p w14:paraId="04D64067">
      <w:pPr>
        <w:pStyle w:val="5"/>
        <w:tabs>
          <w:tab w:val="right" w:leader="dot" w:pos="9016"/>
        </w:tabs>
        <w:rPr>
          <w:rFonts w:ascii="Times New Roman" w:hAnsi="Times New Roman" w:cs="Times New Roman"/>
          <w:sz w:val="30"/>
          <w:szCs w:val="30"/>
        </w:rPr>
      </w:pPr>
      <w:r>
        <w:fldChar w:fldCharType="begin"/>
      </w:r>
      <w:r>
        <w:instrText xml:space="preserve"> HYPERLINK \l "_Toc237847451" </w:instrText>
      </w:r>
      <w:r>
        <w:fldChar w:fldCharType="separate"/>
      </w:r>
      <w:r>
        <w:rPr>
          <w:rStyle w:val="8"/>
          <w:rFonts w:ascii="Times New Roman" w:hAnsi="Times New Roman" w:eastAsia="仿宋" w:cs="Times New Roman"/>
          <w:b/>
          <w:sz w:val="30"/>
          <w:szCs w:val="30"/>
        </w:rPr>
        <w:t>（一）加强组织领导</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_Toc237847451 \h </w:instrText>
      </w:r>
      <w:r>
        <w:rPr>
          <w:rFonts w:ascii="Times New Roman" w:hAnsi="Times New Roman" w:cs="Times New Roman"/>
          <w:sz w:val="30"/>
          <w:szCs w:val="30"/>
        </w:rPr>
        <w:fldChar w:fldCharType="separate"/>
      </w:r>
      <w:r>
        <w:rPr>
          <w:rFonts w:ascii="Times New Roman" w:hAnsi="Times New Roman" w:cs="Times New Roman"/>
          <w:sz w:val="30"/>
          <w:szCs w:val="30"/>
        </w:rPr>
        <w:t>56</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3E02029F">
      <w:pPr>
        <w:pStyle w:val="5"/>
        <w:tabs>
          <w:tab w:val="right" w:leader="dot" w:pos="9016"/>
        </w:tabs>
        <w:rPr>
          <w:rFonts w:ascii="Times New Roman" w:hAnsi="Times New Roman" w:cs="Times New Roman"/>
          <w:sz w:val="30"/>
          <w:szCs w:val="30"/>
        </w:rPr>
      </w:pPr>
      <w:r>
        <w:fldChar w:fldCharType="begin"/>
      </w:r>
      <w:r>
        <w:instrText xml:space="preserve"> HYPERLINK \l "_Toc237847452" </w:instrText>
      </w:r>
      <w:r>
        <w:fldChar w:fldCharType="separate"/>
      </w:r>
      <w:r>
        <w:rPr>
          <w:rStyle w:val="8"/>
          <w:rFonts w:ascii="Times New Roman" w:hAnsi="Times New Roman" w:eastAsia="仿宋" w:cs="Times New Roman"/>
          <w:b/>
          <w:sz w:val="30"/>
          <w:szCs w:val="30"/>
        </w:rPr>
        <w:t>（二）完善支撑保障</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_Toc237847452 \h </w:instrText>
      </w:r>
      <w:r>
        <w:rPr>
          <w:rFonts w:ascii="Times New Roman" w:hAnsi="Times New Roman" w:cs="Times New Roman"/>
          <w:sz w:val="30"/>
          <w:szCs w:val="30"/>
        </w:rPr>
        <w:fldChar w:fldCharType="separate"/>
      </w:r>
      <w:r>
        <w:rPr>
          <w:rFonts w:ascii="Times New Roman" w:hAnsi="Times New Roman" w:cs="Times New Roman"/>
          <w:sz w:val="30"/>
          <w:szCs w:val="30"/>
        </w:rPr>
        <w:t>56</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4F84F686">
      <w:pPr>
        <w:pStyle w:val="5"/>
        <w:tabs>
          <w:tab w:val="right" w:leader="dot" w:pos="9016"/>
        </w:tabs>
        <w:rPr>
          <w:rFonts w:ascii="Times New Roman" w:hAnsi="Times New Roman" w:cs="Times New Roman"/>
          <w:sz w:val="30"/>
          <w:szCs w:val="30"/>
        </w:rPr>
      </w:pPr>
      <w:r>
        <w:fldChar w:fldCharType="begin"/>
      </w:r>
      <w:r>
        <w:instrText xml:space="preserve"> HYPERLINK \l "_Toc237847453" </w:instrText>
      </w:r>
      <w:r>
        <w:fldChar w:fldCharType="separate"/>
      </w:r>
      <w:r>
        <w:rPr>
          <w:rStyle w:val="8"/>
          <w:rFonts w:ascii="Times New Roman" w:hAnsi="Times New Roman" w:eastAsia="仿宋" w:cs="Times New Roman"/>
          <w:b/>
          <w:sz w:val="30"/>
          <w:szCs w:val="30"/>
        </w:rPr>
        <w:t>（三）加强监测评估</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_Toc237847453 \h </w:instrText>
      </w:r>
      <w:r>
        <w:rPr>
          <w:rFonts w:ascii="Times New Roman" w:hAnsi="Times New Roman" w:cs="Times New Roman"/>
          <w:sz w:val="30"/>
          <w:szCs w:val="30"/>
        </w:rPr>
        <w:fldChar w:fldCharType="separate"/>
      </w:r>
      <w:r>
        <w:rPr>
          <w:rFonts w:ascii="Times New Roman" w:hAnsi="Times New Roman" w:cs="Times New Roman"/>
          <w:sz w:val="30"/>
          <w:szCs w:val="30"/>
        </w:rPr>
        <w:t>57</w:t>
      </w:r>
      <w:r>
        <w:rPr>
          <w:rFonts w:ascii="Times New Roman" w:hAnsi="Times New Roman" w:cs="Times New Roman"/>
          <w:sz w:val="30"/>
          <w:szCs w:val="30"/>
        </w:rPr>
        <w:fldChar w:fldCharType="end"/>
      </w:r>
      <w:r>
        <w:rPr>
          <w:rFonts w:ascii="Times New Roman" w:hAnsi="Times New Roman" w:cs="Times New Roman"/>
          <w:sz w:val="30"/>
          <w:szCs w:val="30"/>
        </w:rPr>
        <w:fldChar w:fldCharType="end"/>
      </w:r>
    </w:p>
    <w:p w14:paraId="76DC9A93">
      <w:r>
        <w:rPr>
          <w:sz w:val="30"/>
          <w:szCs w:val="30"/>
        </w:rPr>
        <w:fldChar w:fldCharType="end"/>
      </w:r>
    </w:p>
    <w:p w14:paraId="41DF133A"/>
    <w:p w14:paraId="76ECBC33"/>
    <w:p w14:paraId="345C6C2E"/>
    <w:p w14:paraId="589A65B5"/>
    <w:p w14:paraId="7F0D8D11"/>
    <w:p w14:paraId="6ECA7E91"/>
    <w:p w14:paraId="662E7AF8"/>
    <w:p w14:paraId="06EEFEBD"/>
    <w:p w14:paraId="007503A3"/>
    <w:p w14:paraId="219757EC"/>
    <w:p w14:paraId="542BC207"/>
    <w:p w14:paraId="3B07510B"/>
    <w:p w14:paraId="1FAB8F1B"/>
    <w:p w14:paraId="23545DA1"/>
    <w:p w14:paraId="7F71AF3E"/>
    <w:p w14:paraId="5E7C6FD7"/>
    <w:p w14:paraId="6DEFF75E"/>
    <w:p w14:paraId="4B29C008"/>
    <w:p w14:paraId="35B2EF4F"/>
    <w:p w14:paraId="266FBA7C"/>
    <w:p w14:paraId="3EC27024"/>
    <w:p w14:paraId="6590E3F3"/>
    <w:p w14:paraId="49026AE3"/>
    <w:p w14:paraId="2C6301CA"/>
    <w:p w14:paraId="549B133C"/>
    <w:p w14:paraId="74AF85B2"/>
    <w:p w14:paraId="3E834B3F"/>
    <w:p w14:paraId="52FDE429"/>
    <w:p w14:paraId="741A9B03"/>
    <w:p w14:paraId="5FBCAFBE"/>
    <w:p w14:paraId="05E32CB1"/>
    <w:p w14:paraId="2D4A7283"/>
    <w:p w14:paraId="6D1245B6"/>
    <w:p w14:paraId="5F4480BB"/>
    <w:p w14:paraId="1CC652D8"/>
    <w:p w14:paraId="5147E68A"/>
    <w:p w14:paraId="0431DBB2"/>
    <w:p w14:paraId="5897B81B"/>
    <w:p w14:paraId="6A260AF7"/>
    <w:p w14:paraId="2BF77986">
      <w:pPr>
        <w:sectPr>
          <w:pgSz w:w="11906" w:h="16838"/>
          <w:pgMar w:top="1440" w:right="1440" w:bottom="1440" w:left="1440" w:header="851" w:footer="992" w:gutter="0"/>
          <w:cols w:space="425" w:num="1"/>
          <w:docGrid w:type="lines" w:linePitch="312" w:charSpace="0"/>
        </w:sectPr>
      </w:pPr>
    </w:p>
    <w:p w14:paraId="4CCE7209">
      <w:pPr>
        <w:autoSpaceDE w:val="0"/>
        <w:autoSpaceDN w:val="0"/>
        <w:spacing w:line="360" w:lineRule="auto"/>
        <w:ind w:firstLine="640" w:firstLineChars="200"/>
        <w:rPr>
          <w:rFonts w:hint="eastAsia" w:ascii="仿宋" w:hAnsi="仿宋" w:eastAsia="仿宋" w:cs="Times New Roman"/>
          <w:sz w:val="32"/>
          <w:szCs w:val="32"/>
        </w:rPr>
      </w:pPr>
      <w:bookmarkStart w:id="61" w:name="_Toc237847410"/>
      <w:r>
        <w:rPr>
          <w:rFonts w:hint="eastAsia" w:ascii="仿宋" w:hAnsi="仿宋" w:eastAsia="仿宋" w:cs="Times New Roman"/>
          <w:sz w:val="32"/>
          <w:szCs w:val="32"/>
        </w:rPr>
        <w:t>为顺应人口结构与疾病谱变化、科技革命与产业变革、公共卫生安全新挑战等深层趋势，坚持以人民健康为中心的根本导向，全力构建与城市能级相匹配的优质高效医疗卫生服务体系，确保为林芝基本实现社会主义现代化奠定坚实的健康基石，根据《“健康中国2030”规划纲要》《西藏自治区“十五五”卫生健康事业发展规划》《林芝市国民经济和社会发展第十五个五年规划纲要》，特编制《林芝市“十五五”卫生健康事业发展规划》（以下简称“规划”），本规划明确“十五五”时期全市卫生健康的发展目标、主要任务和政策举措，是编制相关规划和重大项目安排的重要依据。</w:t>
      </w:r>
    </w:p>
    <w:p w14:paraId="09C85A1B">
      <w:pPr>
        <w:autoSpaceDE w:val="0"/>
        <w:autoSpaceDN w:val="0"/>
        <w:spacing w:line="360" w:lineRule="auto"/>
        <w:ind w:firstLine="640" w:firstLineChars="200"/>
        <w:rPr>
          <w:rFonts w:hint="eastAsia" w:ascii="仿宋" w:hAnsi="仿宋" w:eastAsia="仿宋" w:cs="Times New Roman"/>
          <w:sz w:val="32"/>
          <w:szCs w:val="32"/>
        </w:rPr>
      </w:pPr>
    </w:p>
    <w:p w14:paraId="257E73D4">
      <w:pPr>
        <w:keepNext/>
        <w:keepLines/>
        <w:autoSpaceDE w:val="0"/>
        <w:autoSpaceDN w:val="0"/>
        <w:spacing w:line="360" w:lineRule="auto"/>
        <w:ind w:firstLine="640" w:firstLineChars="200"/>
        <w:jc w:val="left"/>
        <w:outlineLvl w:val="0"/>
        <w:rPr>
          <w:rFonts w:ascii="黑体" w:hAnsi="黑体" w:eastAsia="黑体" w:cs="Times New Roman"/>
          <w:kern w:val="44"/>
          <w:sz w:val="32"/>
          <w:szCs w:val="32"/>
        </w:rPr>
      </w:pPr>
      <w:r>
        <w:rPr>
          <w:rFonts w:hint="eastAsia" w:ascii="黑体" w:hAnsi="黑体" w:eastAsia="黑体" w:cs="Times New Roman"/>
          <w:kern w:val="44"/>
          <w:sz w:val="32"/>
          <w:szCs w:val="32"/>
        </w:rPr>
        <w:t>一、规划背景</w:t>
      </w:r>
      <w:bookmarkEnd w:id="61"/>
    </w:p>
    <w:p w14:paraId="619DD886">
      <w:pPr>
        <w:keepNext/>
        <w:keepLines/>
        <w:autoSpaceDE w:val="0"/>
        <w:autoSpaceDN w:val="0"/>
        <w:spacing w:before="156" w:beforeLines="50" w:line="360" w:lineRule="auto"/>
        <w:ind w:firstLine="643" w:firstLineChars="200"/>
        <w:outlineLvl w:val="1"/>
        <w:rPr>
          <w:rFonts w:ascii="仿宋" w:hAnsi="仿宋" w:eastAsia="仿宋" w:cs="Times New Roman"/>
          <w:b/>
          <w:sz w:val="32"/>
          <w:szCs w:val="32"/>
        </w:rPr>
      </w:pPr>
      <w:bookmarkStart w:id="62" w:name="_Toc237847411"/>
      <w:r>
        <w:rPr>
          <w:rFonts w:hint="eastAsia" w:ascii="仿宋" w:hAnsi="仿宋" w:eastAsia="仿宋" w:cs="Times New Roman"/>
          <w:b/>
          <w:sz w:val="32"/>
          <w:szCs w:val="32"/>
        </w:rPr>
        <w:t>（一）“十四五”工作成效</w:t>
      </w:r>
      <w:bookmarkEnd w:id="62"/>
    </w:p>
    <w:p w14:paraId="1223F188">
      <w:pPr>
        <w:pBdr>
          <w:bottom w:val="single" w:color="FFFFFF" w:sz="4" w:space="0"/>
        </w:pBdr>
        <w:tabs>
          <w:tab w:val="left" w:pos="1440"/>
        </w:tabs>
        <w:adjustRightInd w:val="0"/>
        <w:snapToGrid w:val="0"/>
        <w:spacing w:line="360" w:lineRule="auto"/>
        <w:ind w:firstLine="643" w:firstLineChars="200"/>
        <w:rPr>
          <w:rFonts w:ascii="仿宋" w:hAnsi="仿宋" w:eastAsia="仿宋" w:cs="仿宋_GB2312"/>
          <w:b/>
          <w:bCs/>
          <w:snapToGrid w:val="0"/>
          <w:kern w:val="0"/>
          <w:sz w:val="32"/>
          <w:szCs w:val="32"/>
        </w:rPr>
      </w:pPr>
      <w:r>
        <w:rPr>
          <w:rFonts w:hint="eastAsia" w:ascii="仿宋" w:hAnsi="仿宋" w:eastAsia="仿宋" w:cs="仿宋_GB2312"/>
          <w:b/>
          <w:bCs/>
          <w:snapToGrid w:val="0"/>
          <w:kern w:val="0"/>
          <w:sz w:val="32"/>
          <w:szCs w:val="32"/>
        </w:rPr>
        <w:t>1.全民健康水平稳步提升</w:t>
      </w:r>
    </w:p>
    <w:p w14:paraId="7BE2B50E">
      <w:pPr>
        <w:autoSpaceDE w:val="0"/>
        <w:autoSpaceDN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将健康融入所有政策，推动居民主要健康指标实现跃升。截至2025年，居民人均预期寿命达72.5岁。孕产妇住院分娩率达99.16%。全市二级以上综合医院设老年医学科比例91.7%，投资2450万元为七县（市、区）各配一台健康体检车，全市城乡居民健康体检率每年达到85%以上，重点人群筛查全覆盖，居民健康素养水平大幅提升，全市居民健康素养水平25.7%。高原特色疾病防治能力实现关键突破，构建起高效的高原病、地方病综合防治体系，慢性病防控持续加强。</w:t>
      </w:r>
    </w:p>
    <w:p w14:paraId="74F03A7E">
      <w:pPr>
        <w:pBdr>
          <w:bottom w:val="single" w:color="FFFFFF" w:sz="4" w:space="0"/>
        </w:pBdr>
        <w:tabs>
          <w:tab w:val="left" w:pos="1440"/>
        </w:tabs>
        <w:adjustRightInd w:val="0"/>
        <w:snapToGrid w:val="0"/>
        <w:spacing w:line="360" w:lineRule="auto"/>
        <w:ind w:firstLine="643" w:firstLineChars="200"/>
        <w:rPr>
          <w:rFonts w:ascii="仿宋" w:hAnsi="仿宋" w:eastAsia="仿宋" w:cs="仿宋_GB2312"/>
          <w:b/>
          <w:bCs/>
          <w:snapToGrid w:val="0"/>
          <w:kern w:val="0"/>
          <w:sz w:val="32"/>
          <w:szCs w:val="32"/>
        </w:rPr>
      </w:pPr>
      <w:r>
        <w:rPr>
          <w:rFonts w:hint="eastAsia" w:ascii="仿宋" w:hAnsi="仿宋" w:eastAsia="仿宋" w:cs="仿宋_GB2312"/>
          <w:b/>
          <w:bCs/>
          <w:snapToGrid w:val="0"/>
          <w:kern w:val="0"/>
          <w:sz w:val="32"/>
          <w:szCs w:val="32"/>
        </w:rPr>
        <w:t>2.医疗服务体系日趋健全完善</w:t>
      </w:r>
    </w:p>
    <w:p w14:paraId="1906657B">
      <w:pPr>
        <w:autoSpaceDE w:val="0"/>
        <w:autoSpaceDN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机构层级实现历史性跨越。市人民医院成功复评三级甲等综合医院，市藏医院建成民族医三级乙等医院，市妇幼保健院及7县区人民医院全部创建为二级医院并启动“二甲”创建。较“十三五”末，新增二级甲等医院3所、二级乙等医院3所、一级甲等医院2所，市县两级优质医疗资源战略性布局基本形成。</w:t>
      </w:r>
    </w:p>
    <w:p w14:paraId="3DAED37B">
      <w:pPr>
        <w:autoSpaceDE w:val="0"/>
        <w:autoSpaceDN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基层服务网络全面夯实。制定印发《林芝市样板乡镇卫生院标准》《林芝市样板村卫生室标准》，建成样板乡镇卫生院和村卫生室24个，察隅县下察隅镇卫生院在“优质服务基层行”活动中达到国家推荐标准，获国家卫生健康委通报表扬。</w:t>
      </w:r>
    </w:p>
    <w:p w14:paraId="4CA80F98">
      <w:pPr>
        <w:autoSpaceDE w:val="0"/>
        <w:autoSpaceDN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体系运行机制持续优化。紧密型县域医共体实现全域覆盖，远程医疗服务延伸至县区，优质医疗资源纵向贯通、有效下沉。分级诊疗秩序加快形成，常见病、多发病县域内解决率稳步提高，区域医疗服务均衡化、同质化水平显著提升。</w:t>
      </w:r>
    </w:p>
    <w:p w14:paraId="6A0975C5">
      <w:pPr>
        <w:pBdr>
          <w:bottom w:val="single" w:color="FFFFFF" w:sz="4" w:space="0"/>
        </w:pBdr>
        <w:tabs>
          <w:tab w:val="left" w:pos="1440"/>
        </w:tabs>
        <w:adjustRightInd w:val="0"/>
        <w:snapToGrid w:val="0"/>
        <w:spacing w:line="360" w:lineRule="auto"/>
        <w:ind w:firstLine="643" w:firstLineChars="200"/>
        <w:rPr>
          <w:rFonts w:ascii="仿宋" w:hAnsi="仿宋" w:eastAsia="仿宋" w:cs="仿宋_GB2312"/>
          <w:b/>
          <w:bCs/>
          <w:snapToGrid w:val="0"/>
          <w:kern w:val="0"/>
          <w:sz w:val="32"/>
          <w:szCs w:val="32"/>
        </w:rPr>
      </w:pPr>
      <w:r>
        <w:rPr>
          <w:rFonts w:hint="eastAsia" w:ascii="仿宋" w:hAnsi="仿宋" w:eastAsia="仿宋" w:cs="仿宋_GB2312"/>
          <w:b/>
          <w:bCs/>
          <w:snapToGrid w:val="0"/>
          <w:kern w:val="0"/>
          <w:sz w:val="32"/>
          <w:szCs w:val="32"/>
        </w:rPr>
        <w:t>3.公共卫生保障能力显著增强</w:t>
      </w:r>
    </w:p>
    <w:p w14:paraId="1D8A348E">
      <w:pPr>
        <w:autoSpaceDE w:val="0"/>
        <w:autoSpaceDN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疾控体制机制实现重塑。市、县两级疾病预防控制局全部挂牌成立，公共卫生体系进一步理顺，疾控工作从“多头分散”向“归口统管”转变。</w:t>
      </w:r>
    </w:p>
    <w:p w14:paraId="6480B681">
      <w:pPr>
        <w:autoSpaceDE w:val="0"/>
        <w:autoSpaceDN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基础设施与监测平台加快补齐。市公共卫生临床医疗中心建成投用，墨脱、察隅等4个县级中心血库建成运行，率先建成全区首批县级中心血库。120院前急救平台、二级及以上医疗机构国家传染病智能监测预警平台、卫生应急指挥平台建成并投入使用，公共卫生信息化支撑能力显著增强。</w:t>
      </w:r>
    </w:p>
    <w:p w14:paraId="38DEB8AC">
      <w:pPr>
        <w:autoSpaceDE w:val="0"/>
        <w:autoSpaceDN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卫生应急能力大幅跃升。组建林芝市医疗卫生应急队伍、直升机应急医疗队伍，投入2300余万元购置移动核磁共振车、移动手术车等特种车辆5台，配置无人机、卫星电话等单兵作战设备，市、县两级常态化开展应急演练，具备在无外界支撑条件下独立开展二级以下手术及传染病现场应急检测等任务能力。</w:t>
      </w:r>
    </w:p>
    <w:p w14:paraId="5B1DF210">
      <w:pPr>
        <w:autoSpaceDE w:val="0"/>
        <w:autoSpaceDN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重大疾病防控成效突出。鼠疫、结核病等重大传染病和地方病防治持续巩固，2024年首次开展艾滋病病毒载量检测，实现该项工作“零的突破”。米林市、工布江达县被命名为“自治区慢性病综合防控示范区”。首次区内外合作开展雅鲁藏布大峡谷景区及周边区域蚋类昆虫防制，争取科研资金600万元实施蚋类生物多样性特征及防制关键技术研究，防制成效明显。市疾病预防控制中心荣获自治区科技进步二等奖。</w:t>
      </w:r>
    </w:p>
    <w:p w14:paraId="0C331B6C">
      <w:pPr>
        <w:pBdr>
          <w:bottom w:val="single" w:color="FFFFFF" w:sz="4" w:space="0"/>
        </w:pBdr>
        <w:tabs>
          <w:tab w:val="left" w:pos="1440"/>
        </w:tabs>
        <w:adjustRightInd w:val="0"/>
        <w:snapToGrid w:val="0"/>
        <w:spacing w:line="360" w:lineRule="auto"/>
        <w:ind w:firstLine="643" w:firstLineChars="200"/>
        <w:rPr>
          <w:rFonts w:ascii="仿宋" w:hAnsi="仿宋" w:eastAsia="仿宋" w:cs="仿宋_GB2312"/>
          <w:b/>
          <w:bCs/>
          <w:snapToGrid w:val="0"/>
          <w:kern w:val="0"/>
          <w:sz w:val="32"/>
          <w:szCs w:val="32"/>
        </w:rPr>
      </w:pPr>
      <w:r>
        <w:rPr>
          <w:rFonts w:hint="eastAsia" w:ascii="仿宋" w:hAnsi="仿宋" w:eastAsia="仿宋" w:cs="仿宋_GB2312"/>
          <w:b/>
          <w:bCs/>
          <w:snapToGrid w:val="0"/>
          <w:kern w:val="0"/>
          <w:sz w:val="32"/>
          <w:szCs w:val="32"/>
        </w:rPr>
        <w:t>4.医疗援藏持续走深走实</w:t>
      </w:r>
    </w:p>
    <w:p w14:paraId="315DF00A">
      <w:pPr>
        <w:autoSpaceDE w:val="0"/>
        <w:autoSpaceDN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十四五”以来，广东省先后选派848名医疗专家支援林芝，累计投入卫生援藏资金2.6亿元，实施基础医疗条件改善、人才培养、能力提升等10个项目，推动医疗卫生事业发生格局性变化。林芝成为全区唯一在全国卫生健康系统援藏工作会上作经验交流发言的地（市）。</w:t>
      </w:r>
    </w:p>
    <w:p w14:paraId="34CDA735">
      <w:pPr>
        <w:autoSpaceDE w:val="0"/>
        <w:autoSpaceDN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援藏模式迭代升级。将“组团式”援藏中院包科、师带徒、专科建设等成功经验与三级医院对口帮扶工作全面对接，制发《关于加强三级医院对口帮扶县（区）卫生服务中心工作的意见》，明确“市包县”和文化建设要求，援藏工作从“单点输血”向“体系造血”转变。</w:t>
      </w:r>
    </w:p>
    <w:p w14:paraId="17E69656">
      <w:pPr>
        <w:autoSpaceDE w:val="0"/>
        <w:autoSpaceDN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管理理念全面革新。确立“管理和技术两条腿走路”的发展思路，为</w:t>
      </w:r>
      <w:r>
        <w:rPr>
          <w:rFonts w:hint="eastAsia" w:ascii="仿宋" w:hAnsi="仿宋" w:eastAsia="仿宋" w:cs="Times New Roman"/>
          <w:sz w:val="32"/>
          <w:szCs w:val="32"/>
          <w:highlight w:val="none"/>
        </w:rPr>
        <w:t>受</w:t>
      </w:r>
      <w:r>
        <w:rPr>
          <w:rFonts w:hint="eastAsia" w:ascii="仿宋" w:hAnsi="仿宋" w:eastAsia="仿宋" w:cs="Times New Roman"/>
          <w:sz w:val="32"/>
          <w:szCs w:val="32"/>
        </w:rPr>
        <w:t>援医院配备援藏院长，同步引进重点科室负责人和学科带头人，全面引入现代医院管理理念，靠制度管理、按程序办事逐步成为行业共识，多部门协同推进医疗卫生事业发展的格局基本确立。帮带成效持续显现。骨关节置换、心脏支架植入等一大批新技术、新项目落地推广，</w:t>
      </w:r>
      <w:r>
        <w:rPr>
          <w:rFonts w:hint="eastAsia" w:ascii="仿宋" w:hAnsi="仿宋" w:eastAsia="仿宋" w:cs="Times New Roman"/>
          <w:sz w:val="32"/>
          <w:szCs w:val="32"/>
          <w:lang w:eastAsia="zh-CN"/>
        </w:rPr>
        <w:t>让</w:t>
      </w:r>
      <w:r>
        <w:rPr>
          <w:rFonts w:hint="eastAsia" w:ascii="仿宋" w:hAnsi="仿宋" w:eastAsia="仿宋" w:cs="Times New Roman"/>
          <w:sz w:val="32"/>
          <w:szCs w:val="32"/>
        </w:rPr>
        <w:t>人民群众在家门口即可享受优质医疗服务。2015年以来，援藏专家培养高级职称学科带头人26名、本地医疗骨干87名，培养可独立掌握三四级171项新技术的本地医生83名，选拔医学领军人才10名、杰出青年医学人才30名，一支“带不走”的医疗队伍加快成长。</w:t>
      </w:r>
    </w:p>
    <w:p w14:paraId="1F8653A8">
      <w:pPr>
        <w:pBdr>
          <w:bottom w:val="single" w:color="FFFFFF" w:sz="4" w:space="0"/>
        </w:pBdr>
        <w:tabs>
          <w:tab w:val="left" w:pos="1440"/>
        </w:tabs>
        <w:adjustRightInd w:val="0"/>
        <w:snapToGrid w:val="0"/>
        <w:spacing w:line="360" w:lineRule="auto"/>
        <w:ind w:firstLine="643" w:firstLineChars="200"/>
        <w:rPr>
          <w:rFonts w:ascii="仿宋" w:hAnsi="仿宋" w:eastAsia="仿宋" w:cs="仿宋_GB2312"/>
          <w:b/>
          <w:bCs/>
          <w:snapToGrid w:val="0"/>
          <w:kern w:val="0"/>
          <w:sz w:val="32"/>
          <w:szCs w:val="32"/>
        </w:rPr>
      </w:pPr>
      <w:r>
        <w:rPr>
          <w:rFonts w:hint="eastAsia" w:ascii="仿宋" w:hAnsi="仿宋" w:eastAsia="仿宋" w:cs="仿宋_GB2312"/>
          <w:b/>
          <w:bCs/>
          <w:snapToGrid w:val="0"/>
          <w:kern w:val="0"/>
          <w:sz w:val="32"/>
          <w:szCs w:val="32"/>
        </w:rPr>
        <w:t>5.公立医院改革纵深推进</w:t>
      </w:r>
    </w:p>
    <w:p w14:paraId="79B240EE">
      <w:pPr>
        <w:autoSpaceDE w:val="0"/>
        <w:autoSpaceDN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现代医院管理制度加快构建。以市人民医院国家级试点为引领，市、县两级医疗机构普遍实行党政分设，医院章程制定、党委领导下的院长负责制等核心制度逐步落地。强化临床重点专科建设，持续推进临床路径管理，医疗机构运行更加规范高效。</w:t>
      </w:r>
    </w:p>
    <w:p w14:paraId="6A8EAA9F">
      <w:pPr>
        <w:autoSpaceDE w:val="0"/>
        <w:autoSpaceDN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紧密型医共体建设全域铺开。七县（市、区）全面开展紧密型县域医共体建设，基本实现“六统一”管理。以察隅县全国县域紧密型医共体建设试点为契机，探索县域综合医改新模式，推动医疗重心下移、资源下沉、服务下乡，促进医保、医疗、医药三医协同发展和治理。全市医改现场会在察隅县召开，样板乡镇卫生院和村卫生室创建现场会在朗县召开，察隅县人民医院荣获“全国卫生健康系统先进集体”。</w:t>
      </w:r>
    </w:p>
    <w:p w14:paraId="224ECE15">
      <w:pPr>
        <w:autoSpaceDE w:val="0"/>
        <w:autoSpaceDN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人事薪酬改革激发内生动力。市人民医院获批国家公立医院薪酬制度改革试点单位，全面落实公立医疗机构“两个允许”政策，建立与岗位职责、工作业绩紧密挂钩的激励机制，医务人员积极性得到有效调动。</w:t>
      </w:r>
    </w:p>
    <w:p w14:paraId="609CAAFB">
      <w:pPr>
        <w:autoSpaceDE w:val="0"/>
        <w:autoSpaceDN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医药体制改革持续深化。市、县、乡三级公立医疗机构全部取消药品加成，实现药品零加价销售，成功破除“以药补医”机制。严格落实药品和耗材采购“两票制”，逐步开展国家医用耗材集采及省际联盟集采，群众用药负担切实减轻。</w:t>
      </w:r>
    </w:p>
    <w:p w14:paraId="149E9FC2">
      <w:pPr>
        <w:autoSpaceDE w:val="0"/>
        <w:autoSpaceDN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行业监管与行风建设同步加强。医疗机构不良行为登记记分管理办法持续落实，成立市医疗纠纷人民调解委员会，大力开展平安医院创建，加强医德医风建设。持续开展医药领域腐败问题和不正之风集中整治，和谐医患关系加速构建。</w:t>
      </w:r>
    </w:p>
    <w:p w14:paraId="3E828D4D">
      <w:pPr>
        <w:pBdr>
          <w:bottom w:val="single" w:color="FFFFFF" w:sz="4" w:space="0"/>
        </w:pBdr>
        <w:tabs>
          <w:tab w:val="left" w:pos="1440"/>
        </w:tabs>
        <w:adjustRightInd w:val="0"/>
        <w:snapToGrid w:val="0"/>
        <w:spacing w:line="360" w:lineRule="auto"/>
        <w:ind w:firstLine="643" w:firstLineChars="200"/>
        <w:rPr>
          <w:rFonts w:ascii="仿宋" w:hAnsi="仿宋" w:eastAsia="仿宋" w:cs="仿宋_GB2312"/>
          <w:b/>
          <w:bCs/>
          <w:snapToGrid w:val="0"/>
          <w:kern w:val="0"/>
          <w:sz w:val="32"/>
          <w:szCs w:val="32"/>
        </w:rPr>
      </w:pPr>
      <w:r>
        <w:rPr>
          <w:rFonts w:hint="eastAsia" w:ascii="仿宋" w:hAnsi="仿宋" w:eastAsia="仿宋" w:cs="仿宋_GB2312"/>
          <w:b/>
          <w:bCs/>
          <w:snapToGrid w:val="0"/>
          <w:kern w:val="0"/>
          <w:sz w:val="32"/>
          <w:szCs w:val="32"/>
        </w:rPr>
        <w:t>6.民族医药传承创新提质增效</w:t>
      </w:r>
    </w:p>
    <w:p w14:paraId="0A50B8D2">
      <w:pPr>
        <w:autoSpaceDE w:val="0"/>
        <w:autoSpaceDN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服务网络不断健全。建成以市藏医院为龙头、县级藏医院为主体、乡镇卫生院藏医馆为基础、村卫生室为补充的四级藏医药服务网络。全市现有公立藏医院8家、民营藏医院1家，54个乡镇卫生院均设有藏医馆。县级藏医院可开展15种左右藏医适宜技术，乡镇卫生院藏医馆可开展6种以上，藏医药服务加速向村级延伸。全市累计打造重点专科、特色优势专科24个，“三级甲等”民族医院创建工作加快推进。</w:t>
      </w:r>
    </w:p>
    <w:p w14:paraId="6CDF87C7">
      <w:pPr>
        <w:autoSpaceDE w:val="0"/>
        <w:autoSpaceDN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传承保护走深走实。立足米林“药洲”历史底蕴和朗县南派藏医药发源地优势，挂牌成立基层名老藏医传承工作室3个，在市藏医院设立全国名中医（藏医）工作室和自治区级名老藏医药专家传承工作室，系统整理名老藏医学术思想和临床经验，藏医药薪火相传机制不断健全。</w:t>
      </w:r>
    </w:p>
    <w:p w14:paraId="13779E8E">
      <w:pPr>
        <w:autoSpaceDE w:val="0"/>
        <w:autoSpaceDN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科研创新取得突破。整合市县两级藏医院制剂资源，基层藏医临床用药保障能力明显增强。市藏医院藏医泻疗法治疗痛风病临床疗效评价研究、藏药助眠基础研究等取得实质性进展，“藏医陶瓷蒸疗锅”等特色器械获得实用新型专利，藏医药科研从经验总结向规范化研究迈出坚实步伐。</w:t>
      </w:r>
    </w:p>
    <w:p w14:paraId="57DEC876">
      <w:pPr>
        <w:autoSpaceDE w:val="0"/>
        <w:autoSpaceDN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藏药材产业发展提质增效。推动米林国家现代农业产业园落地，构建种植、养殖、加工协同发展的全产业链体系。全市藏药材种植面积突破1万亩，林麝等特色养殖实现零的突破，引进藏医药企业30家，2024年产业总产值达13.26亿元。2025年获批藏药材优势特色产业集群，财政资金撬动效应显著，产业发展能级进一步跃升。</w:t>
      </w:r>
    </w:p>
    <w:p w14:paraId="0ACF178E">
      <w:pPr>
        <w:autoSpaceDE w:val="0"/>
        <w:autoSpaceDN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交流交融持续深化。连续举办四届“粤林中医藏医学术论坛”，打造“中医进雪域、藏医进南粤”品牌。2024年，“林芝市藏医院藏医工作室”正式落户广东省中医院，4项藏医特色疗法引入广东推广，粤林中（藏）医合作从单向帮扶走向双向赋能。</w:t>
      </w:r>
    </w:p>
    <w:p w14:paraId="624328D7">
      <w:pPr>
        <w:keepNext/>
        <w:keepLines/>
        <w:autoSpaceDE w:val="0"/>
        <w:autoSpaceDN w:val="0"/>
        <w:spacing w:before="156" w:beforeLines="50" w:line="360" w:lineRule="auto"/>
        <w:ind w:firstLine="643" w:firstLineChars="200"/>
        <w:outlineLvl w:val="1"/>
        <w:rPr>
          <w:rFonts w:ascii="仿宋" w:hAnsi="仿宋" w:eastAsia="仿宋" w:cs="Times New Roman"/>
          <w:b/>
          <w:sz w:val="32"/>
          <w:szCs w:val="32"/>
        </w:rPr>
      </w:pPr>
      <w:bookmarkStart w:id="63" w:name="_Toc237847412"/>
      <w:r>
        <w:rPr>
          <w:rFonts w:hint="eastAsia" w:ascii="仿宋" w:hAnsi="仿宋" w:eastAsia="仿宋" w:cs="Times New Roman"/>
          <w:b/>
          <w:sz w:val="32"/>
          <w:szCs w:val="32"/>
        </w:rPr>
        <w:t>（二）“十五五”发展机遇</w:t>
      </w:r>
      <w:bookmarkEnd w:id="63"/>
    </w:p>
    <w:p w14:paraId="4FF008F0">
      <w:pPr>
        <w:autoSpaceDE w:val="0"/>
        <w:autoSpaceDN w:val="0"/>
        <w:spacing w:line="360" w:lineRule="auto"/>
        <w:ind w:firstLine="643" w:firstLineChars="200"/>
        <w:rPr>
          <w:rFonts w:ascii="仿宋" w:hAnsi="仿宋" w:eastAsia="仿宋" w:cs="Times New Roman"/>
          <w:sz w:val="32"/>
          <w:szCs w:val="32"/>
        </w:rPr>
      </w:pPr>
      <w:r>
        <w:rPr>
          <w:rFonts w:hint="eastAsia" w:ascii="仿宋" w:hAnsi="仿宋" w:eastAsia="仿宋" w:cs="Times New Roman"/>
          <w:b/>
          <w:sz w:val="32"/>
          <w:szCs w:val="32"/>
        </w:rPr>
        <w:t>健康中国战略政策红利加速释放。</w:t>
      </w:r>
      <w:r>
        <w:rPr>
          <w:rFonts w:hint="eastAsia" w:ascii="仿宋" w:hAnsi="仿宋" w:eastAsia="仿宋" w:cs="Times New Roman"/>
          <w:sz w:val="32"/>
          <w:szCs w:val="32"/>
        </w:rPr>
        <w:t>随着健康中国战略深入实施，一系列政策红利正加速向本市集聚。一方面强化制度供给，依托“十五五”相关规划，明确到2030年建成覆盖全民的中（藏）医药服务体系，并将民族医药纳入重点扶持学科；另一方面畅通产业路径，借势中药工业高质量发展行动及新版国家基药目录调整，推动藏药制剂研发转化与品规扩容。不断叠加释放的政策红利，为本市补齐短板、实现藏医药从“有”到“优”跨越提供了有力支撑。</w:t>
      </w:r>
    </w:p>
    <w:p w14:paraId="2D2CD9AD">
      <w:pPr>
        <w:autoSpaceDE w:val="0"/>
        <w:autoSpaceDN w:val="0"/>
        <w:spacing w:line="360" w:lineRule="auto"/>
        <w:ind w:firstLine="643" w:firstLineChars="200"/>
        <w:rPr>
          <w:rFonts w:ascii="仿宋" w:hAnsi="仿宋" w:eastAsia="仿宋" w:cs="Times New Roman"/>
          <w:sz w:val="32"/>
          <w:szCs w:val="32"/>
        </w:rPr>
      </w:pPr>
      <w:r>
        <w:rPr>
          <w:rFonts w:hint="eastAsia" w:ascii="仿宋" w:hAnsi="仿宋" w:eastAsia="仿宋" w:cs="Times New Roman"/>
          <w:b/>
          <w:sz w:val="32"/>
          <w:szCs w:val="32"/>
        </w:rPr>
        <w:t>对口援藏协作资源持续汇聚。</w:t>
      </w:r>
      <w:r>
        <w:rPr>
          <w:rFonts w:hint="eastAsia" w:ascii="仿宋" w:hAnsi="仿宋" w:eastAsia="仿宋" w:cs="Times New Roman"/>
          <w:sz w:val="32"/>
          <w:szCs w:val="32"/>
        </w:rPr>
        <w:t>中央持续深化医疗人才组团式援藏，东西部协作机制将进一步优化，援藏工作重心正从“建机制”转向“出成效”、从“补短板”转向“强特色”，为林芝依托既有平台深化学科共建、联合科研攻关、本土人才梯队培育打开更大空间。粤藏双向交流通道贯通流畅，林芝藏医药特色优势与广东中医药产业资源互补性强，在藏药制剂研发、高原医学研究、康养产业合作等领域具备深度协作条件，帮扶模式有望从单向输血全面转向协同造血，为卫生健康事业高质量发展注入持久动能。</w:t>
      </w:r>
    </w:p>
    <w:p w14:paraId="5CC9EB83">
      <w:pPr>
        <w:autoSpaceDE w:val="0"/>
        <w:autoSpaceDN w:val="0"/>
        <w:spacing w:line="360" w:lineRule="auto"/>
        <w:ind w:firstLine="643" w:firstLineChars="200"/>
        <w:rPr>
          <w:rFonts w:ascii="仿宋" w:hAnsi="仿宋" w:eastAsia="仿宋" w:cs="Times New Roman"/>
          <w:sz w:val="32"/>
          <w:szCs w:val="32"/>
        </w:rPr>
      </w:pPr>
      <w:r>
        <w:rPr>
          <w:rFonts w:hint="eastAsia" w:ascii="仿宋" w:hAnsi="仿宋" w:eastAsia="仿宋" w:cs="Times New Roman"/>
          <w:b/>
          <w:sz w:val="32"/>
          <w:szCs w:val="32"/>
        </w:rPr>
        <w:t>国家重大工程项目拓展医疗保障发展空间。</w:t>
      </w:r>
      <w:r>
        <w:rPr>
          <w:rFonts w:hint="eastAsia" w:ascii="仿宋" w:hAnsi="仿宋" w:eastAsia="仿宋" w:cs="Times New Roman"/>
          <w:sz w:val="32"/>
          <w:szCs w:val="32"/>
        </w:rPr>
        <w:t>主动对接雅下水电开发、川滇藏铁路建设等国家重大建设项目，切实履行属地医疗卫生保障职能。针对高原、长距离、大纵深及高温高湿高粉尘、高风险等特殊施工环境带来的职业卫生防治需求与医学研究机遇，加强顶层设计与系统实施，依托市疾病预防控制中心积极筹建市职业病防治所，全面履行在地职业病防治职能，力争在特殊环境职业健康领域取得本地医学科研成果突破。同时，全市立体交通网络加速成型，在畅通急重症转运通道的同时，也为培育健康产业新增长点创造了有利条件。</w:t>
      </w:r>
    </w:p>
    <w:p w14:paraId="26A74CC5">
      <w:pPr>
        <w:autoSpaceDE w:val="0"/>
        <w:autoSpaceDN w:val="0"/>
        <w:spacing w:line="360" w:lineRule="auto"/>
        <w:ind w:firstLine="643" w:firstLineChars="200"/>
        <w:rPr>
          <w:rFonts w:ascii="仿宋" w:hAnsi="仿宋" w:eastAsia="仿宋" w:cs="Times New Roman"/>
          <w:sz w:val="32"/>
          <w:szCs w:val="32"/>
        </w:rPr>
      </w:pPr>
      <w:r>
        <w:rPr>
          <w:rFonts w:hint="eastAsia" w:ascii="仿宋" w:hAnsi="仿宋" w:eastAsia="仿宋" w:cs="Times New Roman"/>
          <w:b/>
          <w:sz w:val="32"/>
          <w:szCs w:val="32"/>
        </w:rPr>
        <w:t xml:space="preserve">数字技术赋能智慧健康应用前景广阔。 </w:t>
      </w:r>
      <w:r>
        <w:rPr>
          <w:rFonts w:hint="eastAsia" w:ascii="仿宋" w:hAnsi="仿宋" w:eastAsia="仿宋" w:cs="Times New Roman"/>
          <w:sz w:val="32"/>
          <w:szCs w:val="32"/>
        </w:rPr>
        <w:t>“互联网+医疗健康”已纳入数字中国重点建设领域，国家专项支持西部地区开展智慧医疗示范建设，为我市争取政策红利提供战略窗口期。数字技术所具有突破时空限制的天然优势，是破解地广人稀、服务可及性不足难题的可靠支撑。依托全民健康信息化工程，加快升级区域健康信息平台、拓展远程医疗覆盖深度，可切实将数字化势能转化为群众看病就医的获得感。</w:t>
      </w:r>
    </w:p>
    <w:p w14:paraId="59472EF0">
      <w:pPr>
        <w:keepNext/>
        <w:keepLines/>
        <w:autoSpaceDE w:val="0"/>
        <w:autoSpaceDN w:val="0"/>
        <w:spacing w:before="156" w:beforeLines="50" w:line="360" w:lineRule="auto"/>
        <w:ind w:firstLine="643" w:firstLineChars="200"/>
        <w:outlineLvl w:val="1"/>
        <w:rPr>
          <w:rFonts w:ascii="仿宋" w:hAnsi="仿宋" w:eastAsia="仿宋" w:cs="Times New Roman"/>
          <w:b/>
          <w:sz w:val="32"/>
          <w:szCs w:val="32"/>
        </w:rPr>
      </w:pPr>
      <w:bookmarkStart w:id="64" w:name="_Toc237847413"/>
      <w:r>
        <w:rPr>
          <w:rFonts w:hint="eastAsia" w:ascii="仿宋" w:hAnsi="仿宋" w:eastAsia="仿宋" w:cs="Times New Roman"/>
          <w:b/>
          <w:sz w:val="32"/>
          <w:szCs w:val="32"/>
        </w:rPr>
        <w:t>（三）面临的主要挑战</w:t>
      </w:r>
      <w:bookmarkEnd w:id="64"/>
    </w:p>
    <w:p w14:paraId="1C04BAB3">
      <w:pPr>
        <w:autoSpaceDE w:val="0"/>
        <w:autoSpaceDN w:val="0"/>
        <w:spacing w:line="360" w:lineRule="auto"/>
        <w:ind w:firstLine="643" w:firstLineChars="200"/>
        <w:rPr>
          <w:rFonts w:ascii="仿宋" w:hAnsi="仿宋" w:eastAsia="仿宋" w:cs="Times New Roman"/>
          <w:sz w:val="32"/>
          <w:szCs w:val="32"/>
        </w:rPr>
      </w:pPr>
      <w:r>
        <w:rPr>
          <w:rFonts w:hint="eastAsia" w:ascii="仿宋" w:hAnsi="仿宋" w:eastAsia="仿宋" w:cs="Times New Roman"/>
          <w:b/>
          <w:sz w:val="32"/>
          <w:szCs w:val="32"/>
        </w:rPr>
        <w:t>医疗机构现代管理能力尚显薄弱。</w:t>
      </w:r>
      <w:r>
        <w:rPr>
          <w:rFonts w:hint="eastAsia" w:ascii="仿宋" w:hAnsi="仿宋" w:eastAsia="仿宋" w:cs="Times New Roman"/>
          <w:sz w:val="32"/>
          <w:szCs w:val="32"/>
        </w:rPr>
        <w:t>现代医院管理理念、制度未完全落地，部分医疗机构仍沿用经验式、粗放式管理模式，绩效考核、医疗质量控制、精细化运营管理等制度体系尚不健全，“重业务、轻管理”现象较为普遍，管理效能有待进一步释放。</w:t>
      </w:r>
    </w:p>
    <w:p w14:paraId="538F0CE0">
      <w:pPr>
        <w:autoSpaceDE w:val="0"/>
        <w:autoSpaceDN w:val="0"/>
        <w:spacing w:line="360" w:lineRule="auto"/>
        <w:ind w:firstLine="643" w:firstLineChars="200"/>
        <w:rPr>
          <w:rFonts w:ascii="仿宋" w:hAnsi="仿宋" w:eastAsia="仿宋" w:cs="Times New Roman"/>
          <w:sz w:val="32"/>
          <w:szCs w:val="32"/>
        </w:rPr>
      </w:pPr>
      <w:r>
        <w:rPr>
          <w:rFonts w:hint="eastAsia" w:ascii="仿宋" w:hAnsi="仿宋" w:eastAsia="仿宋" w:cs="Times New Roman"/>
          <w:b/>
          <w:sz w:val="32"/>
          <w:szCs w:val="32"/>
        </w:rPr>
        <w:t>医疗卫生资源结构性配置失衡。</w:t>
      </w:r>
      <w:r>
        <w:rPr>
          <w:rFonts w:hint="eastAsia" w:ascii="仿宋" w:hAnsi="仿宋" w:eastAsia="仿宋" w:cs="Times New Roman"/>
          <w:sz w:val="32"/>
          <w:szCs w:val="32"/>
        </w:rPr>
        <w:t>优质医疗资源高度集中于市县两级，乡镇卫生院和村卫生室专业人才匮乏。林芝地广人稀、服务半径大，察隅、墨脱等边境县"交通制约多、医护力量弱"问题尤为突出。</w:t>
      </w:r>
    </w:p>
    <w:p w14:paraId="5C84629F">
      <w:pPr>
        <w:autoSpaceDE w:val="0"/>
        <w:autoSpaceDN w:val="0"/>
        <w:spacing w:line="360" w:lineRule="auto"/>
        <w:ind w:firstLine="643" w:firstLineChars="200"/>
        <w:rPr>
          <w:rFonts w:ascii="仿宋" w:hAnsi="仿宋" w:eastAsia="仿宋" w:cs="Times New Roman"/>
          <w:sz w:val="32"/>
          <w:szCs w:val="32"/>
        </w:rPr>
      </w:pPr>
      <w:r>
        <w:rPr>
          <w:rFonts w:hint="eastAsia" w:ascii="仿宋" w:hAnsi="仿宋" w:eastAsia="仿宋" w:cs="Times New Roman"/>
          <w:b/>
          <w:sz w:val="32"/>
          <w:szCs w:val="32"/>
        </w:rPr>
        <w:t>医疗卫生服务能力亟待全面提升。</w:t>
      </w:r>
      <w:r>
        <w:rPr>
          <w:rFonts w:hint="eastAsia" w:ascii="仿宋" w:hAnsi="仿宋" w:eastAsia="仿宋" w:cs="Times New Roman"/>
          <w:sz w:val="32"/>
          <w:szCs w:val="32"/>
        </w:rPr>
        <w:t>当前优质医疗资源总量不足、分布不均，疑难重症患者外转率偏高，反映出区域医疗中心辐射带动能力仍显薄弱；重点专科建设滞后，部分关键核心技术尚未掌握，多学科协作诊疗机制尚不健全，难以满足群众对高质量医疗服务的需求；基层医疗机构服务能力与上级医院差距明显，分级诊疗“接不住、留不下”的问题依然突出，全链条、同质化的医疗服务体系尚未真正形成。</w:t>
      </w:r>
    </w:p>
    <w:p w14:paraId="06A5859A">
      <w:pPr>
        <w:autoSpaceDE w:val="0"/>
        <w:autoSpaceDN w:val="0"/>
        <w:spacing w:line="360" w:lineRule="auto"/>
        <w:ind w:firstLine="643" w:firstLineChars="200"/>
        <w:rPr>
          <w:rFonts w:ascii="仿宋" w:hAnsi="仿宋" w:eastAsia="仿宋" w:cs="Times New Roman"/>
          <w:sz w:val="32"/>
          <w:szCs w:val="32"/>
        </w:rPr>
      </w:pPr>
      <w:r>
        <w:rPr>
          <w:rFonts w:hint="eastAsia" w:ascii="仿宋" w:hAnsi="仿宋" w:eastAsia="仿宋" w:cs="Times New Roman"/>
          <w:b/>
          <w:sz w:val="32"/>
          <w:szCs w:val="32"/>
        </w:rPr>
        <w:t>卫生健康信息化体系融合程度不足。</w:t>
      </w:r>
      <w:r>
        <w:rPr>
          <w:rFonts w:hint="eastAsia" w:ascii="仿宋" w:hAnsi="仿宋" w:eastAsia="仿宋" w:cs="Times New Roman"/>
          <w:sz w:val="32"/>
          <w:szCs w:val="32"/>
        </w:rPr>
        <w:t>各类信息系统条块分割、标准不一，检查检验结果尚未全域互认、数据未完全互联互通，医务人员需在多个网络平台间重复录入、迁移转换数据，工作负担显著增加。远程医疗、电子健康档案共享、智慧公卫等应用尚处起步阶段，信息化对卫生健康事业的支撑引领作用尚未有效发挥。</w:t>
      </w:r>
    </w:p>
    <w:p w14:paraId="590B5FD0">
      <w:pPr>
        <w:autoSpaceDE w:val="0"/>
        <w:autoSpaceDN w:val="0"/>
        <w:spacing w:line="360" w:lineRule="auto"/>
        <w:ind w:firstLine="643" w:firstLineChars="200"/>
        <w:rPr>
          <w:rFonts w:ascii="仿宋" w:hAnsi="仿宋" w:eastAsia="仿宋" w:cs="Times New Roman"/>
          <w:sz w:val="32"/>
          <w:szCs w:val="32"/>
        </w:rPr>
      </w:pPr>
      <w:r>
        <w:rPr>
          <w:rFonts w:hint="eastAsia" w:ascii="仿宋" w:hAnsi="仿宋" w:eastAsia="仿宋" w:cs="Times New Roman"/>
          <w:b/>
          <w:sz w:val="32"/>
          <w:szCs w:val="32"/>
        </w:rPr>
        <w:t>藏医药传承创新力度不足。</w:t>
      </w:r>
      <w:r>
        <w:rPr>
          <w:rFonts w:hint="eastAsia" w:ascii="仿宋" w:hAnsi="仿宋" w:eastAsia="仿宋" w:cs="Times New Roman"/>
          <w:sz w:val="32"/>
          <w:szCs w:val="32"/>
        </w:rPr>
        <w:t>藏医药师承教育体系不够完善，藏医药古籍文献、经典方剂和名老藏医经验挖掘整理和开发不足，特色疗法标准化、规范化程度偏低。野生藏药材资源保护与可持续利用面临挑战，部分珍稀濒危品种资源储量下降，人工繁育技术尚未突破，道地藏药材种质资源保护体系建设滞后，资源优势未能有效转化为产业优势。产业仍以小规模、分散经营为主，龙头企业带动力有限，尚未形成集群规模效应。</w:t>
      </w:r>
    </w:p>
    <w:p w14:paraId="384D29AB">
      <w:pPr>
        <w:autoSpaceDE w:val="0"/>
        <w:autoSpaceDN w:val="0"/>
        <w:spacing w:line="360" w:lineRule="auto"/>
        <w:ind w:firstLine="640" w:firstLineChars="200"/>
        <w:rPr>
          <w:rFonts w:ascii="仿宋" w:hAnsi="仿宋" w:eastAsia="仿宋" w:cs="Times New Roman"/>
          <w:sz w:val="32"/>
          <w:szCs w:val="32"/>
        </w:rPr>
      </w:pPr>
    </w:p>
    <w:p w14:paraId="60475BBA">
      <w:pPr>
        <w:keepNext/>
        <w:keepLines/>
        <w:autoSpaceDE w:val="0"/>
        <w:autoSpaceDN w:val="0"/>
        <w:spacing w:line="360" w:lineRule="auto"/>
        <w:ind w:firstLine="640" w:firstLineChars="200"/>
        <w:jc w:val="left"/>
        <w:outlineLvl w:val="0"/>
        <w:rPr>
          <w:rFonts w:ascii="黑体" w:hAnsi="黑体" w:eastAsia="黑体" w:cs="Times New Roman"/>
          <w:kern w:val="44"/>
          <w:sz w:val="32"/>
          <w:szCs w:val="32"/>
        </w:rPr>
      </w:pPr>
      <w:bookmarkStart w:id="65" w:name="_Toc235857851"/>
      <w:bookmarkStart w:id="66" w:name="_Toc237847414"/>
      <w:r>
        <w:rPr>
          <w:rFonts w:hint="eastAsia" w:ascii="黑体" w:hAnsi="黑体" w:eastAsia="黑体" w:cs="Times New Roman"/>
          <w:kern w:val="44"/>
          <w:sz w:val="32"/>
          <w:szCs w:val="32"/>
        </w:rPr>
        <w:t>二、总体要求</w:t>
      </w:r>
      <w:bookmarkEnd w:id="65"/>
      <w:bookmarkEnd w:id="66"/>
    </w:p>
    <w:p w14:paraId="5C9E3DEB">
      <w:pPr>
        <w:keepNext/>
        <w:keepLines/>
        <w:autoSpaceDE w:val="0"/>
        <w:autoSpaceDN w:val="0"/>
        <w:spacing w:before="156" w:beforeLines="50" w:line="360" w:lineRule="auto"/>
        <w:ind w:firstLine="643" w:firstLineChars="200"/>
        <w:outlineLvl w:val="1"/>
        <w:rPr>
          <w:rFonts w:ascii="仿宋" w:hAnsi="仿宋" w:eastAsia="仿宋" w:cs="Times New Roman"/>
          <w:b/>
          <w:sz w:val="32"/>
          <w:szCs w:val="32"/>
        </w:rPr>
      </w:pPr>
      <w:bookmarkStart w:id="67" w:name="_Toc235857852"/>
      <w:bookmarkStart w:id="68" w:name="_Toc237847415"/>
      <w:bookmarkStart w:id="69" w:name="_Toc1005142469"/>
      <w:bookmarkStart w:id="70" w:name="_Toc225259776"/>
      <w:bookmarkStart w:id="71" w:name="_Toc225259847"/>
      <w:bookmarkStart w:id="72" w:name="_Toc225367673"/>
      <w:bookmarkStart w:id="73" w:name="_Toc229475471"/>
      <w:r>
        <w:rPr>
          <w:rFonts w:hint="eastAsia" w:ascii="仿宋" w:hAnsi="仿宋" w:eastAsia="仿宋" w:cs="Times New Roman"/>
          <w:b/>
          <w:sz w:val="32"/>
          <w:szCs w:val="32"/>
        </w:rPr>
        <w:t>（一）指导思想</w:t>
      </w:r>
      <w:bookmarkEnd w:id="67"/>
      <w:bookmarkEnd w:id="68"/>
      <w:bookmarkEnd w:id="69"/>
      <w:bookmarkEnd w:id="70"/>
      <w:bookmarkEnd w:id="71"/>
      <w:bookmarkEnd w:id="72"/>
      <w:bookmarkEnd w:id="73"/>
    </w:p>
    <w:p w14:paraId="68F8738C">
      <w:pPr>
        <w:autoSpaceDE w:val="0"/>
        <w:autoSpaceDN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以习近平新时代中国特色社会主义思想为指导，深入学习贯彻党的二十大和二十届历次全会精神，全面贯彻落实习近平总书记关于西藏工作的重要指示、新时代党的治藏方略、新时期党的卫生健康工作方针，全面落实自治区第十次党代会和十届区党委历次全会决策部署，聚焦“四件大事”、聚力“四个创建”，全面落实市委发展思路和建设“两地五区”总目标，以改革开放先行为牵引，以服务保障国家重大项目为己任，坚持以人民健康为中心，加快实施健康中国战略和健康优先发展战略，加快建设健康林芝，加快医疗卫生体制改革，持续巩固“五个针对”工作成效，将健康融入所有政策，加快建成与城市发展定位相匹配、与区域人口结构和布局相适应的高质量卫生健康服务体系，为群众提供全生命周期健康服务，持续增进人民健康福祉。</w:t>
      </w:r>
    </w:p>
    <w:p w14:paraId="5CADE570">
      <w:pPr>
        <w:keepNext/>
        <w:keepLines/>
        <w:autoSpaceDE w:val="0"/>
        <w:autoSpaceDN w:val="0"/>
        <w:spacing w:line="360" w:lineRule="auto"/>
        <w:ind w:firstLine="643" w:firstLineChars="200"/>
        <w:outlineLvl w:val="1"/>
        <w:rPr>
          <w:rFonts w:ascii="仿宋" w:hAnsi="仿宋" w:eastAsia="仿宋" w:cs="Times New Roman"/>
          <w:b/>
          <w:color w:val="FF0000"/>
          <w:sz w:val="32"/>
          <w:szCs w:val="32"/>
        </w:rPr>
      </w:pPr>
      <w:bookmarkStart w:id="74" w:name="_Toc1323109181"/>
      <w:bookmarkStart w:id="75" w:name="_Toc235857853"/>
      <w:bookmarkStart w:id="76" w:name="_Toc229475472"/>
      <w:bookmarkStart w:id="77" w:name="_Toc225259848"/>
      <w:bookmarkStart w:id="78" w:name="_Toc225367674"/>
      <w:bookmarkStart w:id="79" w:name="_Toc237847416"/>
      <w:bookmarkStart w:id="80" w:name="_Toc225259777"/>
      <w:r>
        <w:rPr>
          <w:rFonts w:hint="eastAsia" w:ascii="仿宋" w:hAnsi="仿宋" w:eastAsia="仿宋" w:cs="Times New Roman"/>
          <w:b/>
          <w:sz w:val="32"/>
          <w:szCs w:val="32"/>
        </w:rPr>
        <w:t>（二）基本原则</w:t>
      </w:r>
      <w:bookmarkEnd w:id="74"/>
      <w:bookmarkEnd w:id="75"/>
      <w:bookmarkEnd w:id="76"/>
      <w:bookmarkEnd w:id="77"/>
      <w:bookmarkEnd w:id="78"/>
      <w:bookmarkEnd w:id="79"/>
      <w:bookmarkEnd w:id="80"/>
    </w:p>
    <w:p w14:paraId="2D407D10">
      <w:pPr>
        <w:widowControl/>
        <w:spacing w:line="360" w:lineRule="auto"/>
        <w:ind w:firstLine="480"/>
        <w:jc w:val="left"/>
        <w:rPr>
          <w:rFonts w:ascii="仿宋" w:hAnsi="仿宋" w:eastAsia="仿宋" w:cs="Calibri"/>
          <w:color w:val="000000"/>
          <w:sz w:val="32"/>
          <w:szCs w:val="32"/>
        </w:rPr>
      </w:pPr>
      <w:r>
        <w:rPr>
          <w:rFonts w:hint="eastAsia" w:ascii="仿宋" w:hAnsi="仿宋" w:eastAsia="仿宋" w:cs="Calibri"/>
          <w:b/>
          <w:bCs/>
          <w:color w:val="000000"/>
          <w:sz w:val="32"/>
          <w:szCs w:val="32"/>
        </w:rPr>
        <w:t>1.坚持健康优先，推动健康入万策。</w:t>
      </w:r>
      <w:r>
        <w:rPr>
          <w:rFonts w:hint="eastAsia" w:ascii="仿宋" w:hAnsi="仿宋" w:eastAsia="仿宋" w:cs="Calibri"/>
          <w:color w:val="000000"/>
          <w:sz w:val="32"/>
          <w:szCs w:val="32"/>
        </w:rPr>
        <w:t>全面推进健康林芝建设，牢固树立大卫生、大健康理念，强化个人健康责任意识和素养，加快推动以治病为中心向以人民健康为中心转变，将促进健康融入公共政策制定实施的全过程，加快形成大健康治理格局。</w:t>
      </w:r>
    </w:p>
    <w:p w14:paraId="6432ED56">
      <w:pPr>
        <w:widowControl/>
        <w:spacing w:line="360" w:lineRule="auto"/>
        <w:ind w:firstLine="480"/>
        <w:jc w:val="left"/>
        <w:rPr>
          <w:rFonts w:ascii="仿宋" w:hAnsi="仿宋" w:eastAsia="仿宋" w:cs="Calibri"/>
          <w:color w:val="000000"/>
          <w:sz w:val="32"/>
          <w:szCs w:val="32"/>
        </w:rPr>
      </w:pPr>
      <w:r>
        <w:rPr>
          <w:rFonts w:hint="eastAsia" w:ascii="仿宋" w:hAnsi="仿宋" w:eastAsia="仿宋" w:cs="Calibri"/>
          <w:b/>
          <w:bCs/>
          <w:color w:val="000000"/>
          <w:sz w:val="32"/>
          <w:szCs w:val="32"/>
        </w:rPr>
        <w:t>2.坚持需求导向，实现多元化发展。</w:t>
      </w:r>
      <w:r>
        <w:rPr>
          <w:rFonts w:hint="eastAsia" w:ascii="仿宋" w:hAnsi="仿宋" w:eastAsia="仿宋" w:cs="Calibri"/>
          <w:color w:val="000000"/>
          <w:sz w:val="32"/>
          <w:szCs w:val="32"/>
        </w:rPr>
        <w:t>结合城市发展定位和区域人口结构变化特征，以“一老一小”为重点，以居住人群、职业人群为核心，以全人群健康友好为目标，深化医疗卫生供给侧改革，充分整合市县两级、公立和社会办医等各类优质资源，构建全周期卫生健康服务保障。</w:t>
      </w:r>
    </w:p>
    <w:p w14:paraId="70EEBE98">
      <w:pPr>
        <w:widowControl/>
        <w:spacing w:line="360" w:lineRule="auto"/>
        <w:ind w:firstLine="480"/>
        <w:jc w:val="left"/>
        <w:rPr>
          <w:rFonts w:ascii="仿宋" w:hAnsi="仿宋" w:eastAsia="仿宋" w:cs="Calibri"/>
          <w:color w:val="000000" w:themeColor="text1"/>
          <w:sz w:val="32"/>
          <w:szCs w:val="32"/>
          <w14:textFill>
            <w14:solidFill>
              <w14:schemeClr w14:val="tx1"/>
            </w14:solidFill>
          </w14:textFill>
        </w:rPr>
      </w:pPr>
      <w:r>
        <w:rPr>
          <w:rFonts w:hint="eastAsia" w:ascii="仿宋" w:hAnsi="仿宋" w:eastAsia="仿宋" w:cs="Calibri"/>
          <w:b/>
          <w:bCs/>
          <w:color w:val="000000" w:themeColor="text1"/>
          <w:sz w:val="32"/>
          <w:szCs w:val="32"/>
          <w14:textFill>
            <w14:solidFill>
              <w14:schemeClr w14:val="tx1"/>
            </w14:solidFill>
          </w14:textFill>
        </w:rPr>
        <w:t>3.坚持公卫筑基，筑牢安全防线。</w:t>
      </w:r>
      <w:r>
        <w:rPr>
          <w:rFonts w:hint="eastAsia" w:ascii="仿宋" w:hAnsi="仿宋" w:eastAsia="仿宋" w:cs="Calibri"/>
          <w:color w:val="000000" w:themeColor="text1"/>
          <w:sz w:val="32"/>
          <w:szCs w:val="32"/>
          <w14:textFill>
            <w14:solidFill>
              <w14:schemeClr w14:val="tx1"/>
            </w14:solidFill>
          </w14:textFill>
        </w:rPr>
        <w:t>始终将人民群众生命安全和健康放首位，坚持预防为主、防治结合方针，优先发展公共卫生体系建设。健全重大疫情和突发公共卫生事件监测预警、应急响应和处置机制，完善平急转换、上下联动的公共卫生应急体系。深化医防融合，推动公共卫生、医疗服务高效衔接。</w:t>
      </w:r>
    </w:p>
    <w:p w14:paraId="4EBA028A">
      <w:pPr>
        <w:widowControl/>
        <w:spacing w:line="360" w:lineRule="auto"/>
        <w:ind w:firstLine="480"/>
        <w:jc w:val="left"/>
        <w:rPr>
          <w:rFonts w:ascii="仿宋" w:hAnsi="仿宋" w:eastAsia="仿宋" w:cs="Calibri"/>
          <w:color w:val="000000"/>
          <w:sz w:val="32"/>
          <w:szCs w:val="32"/>
        </w:rPr>
      </w:pPr>
      <w:r>
        <w:rPr>
          <w:rFonts w:hint="eastAsia" w:ascii="仿宋" w:hAnsi="仿宋" w:eastAsia="仿宋" w:cs="Calibri"/>
          <w:b/>
          <w:bCs/>
          <w:color w:val="000000"/>
          <w:sz w:val="32"/>
          <w:szCs w:val="32"/>
        </w:rPr>
        <w:t>4.强化整合协同，提升服务效能。</w:t>
      </w:r>
      <w:r>
        <w:rPr>
          <w:rFonts w:hint="eastAsia" w:ascii="仿宋" w:hAnsi="仿宋" w:eastAsia="仿宋" w:cs="Calibri"/>
          <w:color w:val="000000"/>
          <w:sz w:val="32"/>
          <w:szCs w:val="32"/>
        </w:rPr>
        <w:t>坚持预防为主、中（藏）西医并重，创新医防协同、医防融合机制。坚持深化体系整合改革，强化医疗卫生机构分工协作，构建优质高效、连续协同、富有韧性的整合型医疗卫生服务体系。</w:t>
      </w:r>
    </w:p>
    <w:p w14:paraId="7D5827C9">
      <w:pPr>
        <w:widowControl/>
        <w:spacing w:line="360" w:lineRule="auto"/>
        <w:ind w:firstLine="480"/>
        <w:jc w:val="left"/>
        <w:rPr>
          <w:rFonts w:ascii="仿宋" w:hAnsi="仿宋" w:eastAsia="仿宋" w:cs="Calibri"/>
          <w:color w:val="000000"/>
          <w:sz w:val="32"/>
          <w:szCs w:val="32"/>
        </w:rPr>
      </w:pPr>
      <w:r>
        <w:rPr>
          <w:rFonts w:hint="eastAsia" w:ascii="仿宋" w:hAnsi="仿宋" w:eastAsia="仿宋" w:cs="Calibri"/>
          <w:b/>
          <w:bCs/>
          <w:color w:val="000000"/>
          <w:sz w:val="32"/>
          <w:szCs w:val="32"/>
        </w:rPr>
        <w:t>5.深化改革创新，推动内涵发展。</w:t>
      </w:r>
      <w:r>
        <w:rPr>
          <w:rFonts w:hint="eastAsia" w:ascii="仿宋" w:hAnsi="仿宋" w:eastAsia="仿宋" w:cs="Calibri"/>
          <w:color w:val="000000"/>
          <w:sz w:val="32"/>
          <w:szCs w:val="32"/>
        </w:rPr>
        <w:t>推动公立医院改革与高质量发展。突出系统集成，勇于突破制约卫生健康事业发展的瓶颈，促进医疗、医保、医药协同发展和治理。完善卫生健康医教科技创新体系，加快培育和发展卫生健康新质生产力。</w:t>
      </w:r>
    </w:p>
    <w:p w14:paraId="1853B52E">
      <w:pPr>
        <w:widowControl/>
        <w:spacing w:line="360" w:lineRule="auto"/>
        <w:ind w:firstLine="480"/>
        <w:jc w:val="left"/>
        <w:rPr>
          <w:rFonts w:ascii="仿宋" w:hAnsi="仿宋" w:eastAsia="仿宋" w:cs="Calibri"/>
          <w:bCs/>
          <w:sz w:val="32"/>
          <w:szCs w:val="32"/>
        </w:rPr>
      </w:pPr>
      <w:r>
        <w:rPr>
          <w:rFonts w:hint="eastAsia" w:ascii="仿宋" w:hAnsi="仿宋" w:eastAsia="仿宋" w:cs="Calibri"/>
          <w:b/>
          <w:bCs/>
          <w:color w:val="000000"/>
          <w:sz w:val="32"/>
          <w:szCs w:val="32"/>
        </w:rPr>
        <w:t>6.坚持均衡发展，促进优质资源共享。</w:t>
      </w:r>
      <w:r>
        <w:rPr>
          <w:rFonts w:hint="eastAsia" w:ascii="仿宋" w:hAnsi="仿宋" w:eastAsia="仿宋" w:cs="Calibri"/>
          <w:bCs/>
          <w:sz w:val="32"/>
          <w:szCs w:val="32"/>
        </w:rPr>
        <w:t>实施“以建强市级公立医疗机构为重心，以市县两级公立医疗机构间有效协作、共同实现高质量发展为支撑，以县乡两级紧密型医共体为基础，以乡村一体化管理制度为网底”的发展策略，推动优质医疗资源均衡布局与共享，在城镇打造“</w:t>
      </w:r>
      <w:bookmarkStart w:id="81" w:name="OLE_LINK4"/>
      <w:bookmarkStart w:id="82" w:name="OLE_LINK9"/>
      <w:r>
        <w:rPr>
          <w:rFonts w:hint="eastAsia" w:ascii="仿宋" w:hAnsi="仿宋" w:eastAsia="仿宋" w:cs="Calibri"/>
          <w:bCs/>
          <w:sz w:val="32"/>
          <w:szCs w:val="32"/>
        </w:rPr>
        <w:t>15分钟医疗服务圈</w:t>
      </w:r>
      <w:bookmarkEnd w:id="81"/>
      <w:bookmarkEnd w:id="82"/>
      <w:r>
        <w:rPr>
          <w:rFonts w:hint="eastAsia" w:ascii="仿宋" w:hAnsi="仿宋" w:eastAsia="仿宋" w:cs="Calibri"/>
          <w:bCs/>
          <w:sz w:val="32"/>
          <w:szCs w:val="32"/>
        </w:rPr>
        <w:t>”。</w:t>
      </w:r>
    </w:p>
    <w:p w14:paraId="14A3B73E">
      <w:pPr>
        <w:widowControl/>
        <w:spacing w:line="360" w:lineRule="auto"/>
        <w:ind w:firstLine="480"/>
        <w:jc w:val="left"/>
        <w:rPr>
          <w:rFonts w:ascii="Times New Roman" w:hAnsi="Times New Roman" w:eastAsia="宋体" w:cs="Times New Roman"/>
          <w:sz w:val="24"/>
          <w:szCs w:val="24"/>
        </w:rPr>
      </w:pPr>
      <w:r>
        <w:rPr>
          <w:rFonts w:hint="eastAsia" w:ascii="仿宋" w:hAnsi="仿宋" w:eastAsia="仿宋" w:cs="Calibri"/>
          <w:b/>
          <w:bCs/>
          <w:sz w:val="32"/>
          <w:szCs w:val="32"/>
        </w:rPr>
        <w:t>7.坚持数智赋能，加快转型发展。</w:t>
      </w:r>
      <w:r>
        <w:rPr>
          <w:rFonts w:hint="eastAsia" w:ascii="仿宋" w:hAnsi="仿宋" w:eastAsia="仿宋" w:cs="Calibri"/>
          <w:sz w:val="32"/>
          <w:szCs w:val="32"/>
        </w:rPr>
        <w:t>推进卫生健康数字化转型，推动规范统一、互联互通的区域全民健康信息平台高水平应用，实现电子健康档案等跨机构跨区域共享。深化智慧医院建设，发展远程医疗，扩大优质医疗资源对偏远农牧区的辐射范围。打造更多医疗便民惠民数字化应用场景，提升服务智能化、便捷化水平。</w:t>
      </w:r>
    </w:p>
    <w:p w14:paraId="5B57DACA">
      <w:pPr>
        <w:keepNext/>
        <w:keepLines/>
        <w:autoSpaceDE w:val="0"/>
        <w:autoSpaceDN w:val="0"/>
        <w:spacing w:line="360" w:lineRule="auto"/>
        <w:ind w:firstLine="643" w:firstLineChars="200"/>
        <w:outlineLvl w:val="1"/>
        <w:rPr>
          <w:rFonts w:ascii="仿宋" w:hAnsi="仿宋" w:eastAsia="仿宋" w:cs="Times New Roman"/>
          <w:b/>
          <w:color w:val="FF0000"/>
          <w:sz w:val="32"/>
          <w:szCs w:val="32"/>
        </w:rPr>
      </w:pPr>
      <w:bookmarkStart w:id="83" w:name="_Toc237847417"/>
      <w:bookmarkStart w:id="84" w:name="_Toc302840382"/>
      <w:bookmarkStart w:id="85" w:name="_Toc235857854"/>
      <w:bookmarkStart w:id="86" w:name="_Toc225367675"/>
      <w:bookmarkStart w:id="87" w:name="_Toc225259849"/>
      <w:bookmarkStart w:id="88" w:name="_Toc229475473"/>
      <w:bookmarkStart w:id="89" w:name="_Toc225259778"/>
      <w:r>
        <w:rPr>
          <w:rFonts w:hint="eastAsia" w:ascii="仿宋" w:hAnsi="仿宋" w:eastAsia="仿宋" w:cs="Times New Roman"/>
          <w:b/>
          <w:sz w:val="32"/>
          <w:szCs w:val="32"/>
        </w:rPr>
        <w:t>（三）发展目标</w:t>
      </w:r>
      <w:bookmarkEnd w:id="83"/>
      <w:bookmarkEnd w:id="84"/>
      <w:bookmarkEnd w:id="85"/>
      <w:bookmarkEnd w:id="86"/>
      <w:bookmarkEnd w:id="87"/>
      <w:bookmarkEnd w:id="88"/>
      <w:bookmarkEnd w:id="89"/>
    </w:p>
    <w:p w14:paraId="3CEC3BD2">
      <w:pPr>
        <w:pBdr>
          <w:bottom w:val="single" w:color="FFFFFF" w:sz="4" w:space="0"/>
        </w:pBdr>
        <w:tabs>
          <w:tab w:val="left" w:pos="1440"/>
        </w:tabs>
        <w:adjustRightInd w:val="0"/>
        <w:snapToGrid w:val="0"/>
        <w:spacing w:line="360" w:lineRule="auto"/>
        <w:ind w:firstLine="643" w:firstLineChars="200"/>
        <w:rPr>
          <w:rFonts w:ascii="仿宋" w:hAnsi="仿宋" w:eastAsia="仿宋" w:cs="仿宋_GB2312"/>
          <w:b/>
          <w:bCs/>
          <w:snapToGrid w:val="0"/>
          <w:color w:val="FF0000"/>
          <w:kern w:val="0"/>
          <w:sz w:val="32"/>
          <w:szCs w:val="32"/>
        </w:rPr>
      </w:pPr>
      <w:r>
        <w:rPr>
          <w:rFonts w:ascii="仿宋" w:hAnsi="仿宋" w:eastAsia="仿宋" w:cs="??"/>
          <w:b/>
          <w:bCs/>
          <w:snapToGrid w:val="0"/>
          <w:kern w:val="0"/>
          <w:sz w:val="32"/>
          <w:szCs w:val="32"/>
        </w:rPr>
        <w:t>1.</w:t>
      </w:r>
      <w:r>
        <w:rPr>
          <w:rFonts w:hint="eastAsia" w:ascii="仿宋" w:hAnsi="仿宋" w:eastAsia="仿宋" w:cs="仿宋_GB2312"/>
          <w:b/>
          <w:bCs/>
          <w:snapToGrid w:val="0"/>
          <w:kern w:val="0"/>
          <w:sz w:val="32"/>
          <w:szCs w:val="32"/>
        </w:rPr>
        <w:t xml:space="preserve">“十五五”时期目标 </w:t>
      </w:r>
    </w:p>
    <w:p w14:paraId="27EA30C0">
      <w:pPr>
        <w:pBdr>
          <w:bottom w:val="single" w:color="FFFFFF" w:sz="4" w:space="0"/>
        </w:pBdr>
        <w:tabs>
          <w:tab w:val="left" w:pos="1440"/>
        </w:tabs>
        <w:adjustRightInd w:val="0"/>
        <w:snapToGrid w:val="0"/>
        <w:spacing w:line="360" w:lineRule="auto"/>
        <w:ind w:firstLine="640" w:firstLineChars="200"/>
        <w:rPr>
          <w:rFonts w:ascii="仿宋" w:hAnsi="仿宋" w:eastAsia="仿宋" w:cs="仿宋_GB2312"/>
          <w:bCs/>
          <w:snapToGrid w:val="0"/>
          <w:kern w:val="0"/>
          <w:sz w:val="32"/>
          <w:szCs w:val="32"/>
        </w:rPr>
      </w:pPr>
      <w:bookmarkStart w:id="90" w:name="OLE_LINK20"/>
      <w:r>
        <w:rPr>
          <w:rFonts w:hint="eastAsia" w:ascii="仿宋" w:hAnsi="仿宋" w:eastAsia="仿宋" w:cs="仿宋_GB2312"/>
          <w:bCs/>
          <w:snapToGrid w:val="0"/>
          <w:color w:val="000000"/>
          <w:kern w:val="0"/>
          <w:sz w:val="32"/>
          <w:szCs w:val="32"/>
        </w:rPr>
        <w:t>以人民健康为中心，全面贯彻“健康中国”理念，系统推进公益性导向的公立医院改革与高质量发展，</w:t>
      </w:r>
      <w:bookmarkStart w:id="91" w:name="OLE_LINK13"/>
      <w:r>
        <w:rPr>
          <w:rFonts w:hint="eastAsia" w:ascii="仿宋" w:hAnsi="仿宋" w:eastAsia="仿宋" w:cs="仿宋_GB2312"/>
          <w:bCs/>
          <w:snapToGrid w:val="0"/>
          <w:color w:val="000000"/>
          <w:kern w:val="0"/>
          <w:sz w:val="32"/>
          <w:szCs w:val="32"/>
        </w:rPr>
        <w:t>持续深化分级诊疗体系建设，</w:t>
      </w:r>
      <w:bookmarkEnd w:id="91"/>
      <w:r>
        <w:rPr>
          <w:rFonts w:hint="eastAsia" w:ascii="仿宋" w:hAnsi="仿宋" w:eastAsia="仿宋" w:cs="仿宋_GB2312"/>
          <w:bCs/>
          <w:snapToGrid w:val="0"/>
          <w:color w:val="000000"/>
          <w:kern w:val="0"/>
          <w:sz w:val="32"/>
          <w:szCs w:val="32"/>
        </w:rPr>
        <w:t>全面夯实基层医疗卫生服务网底，加快完善联结紧密、管理高效、能力全面的医疗卫生服务体系，落实城乡全人群全周期健康保障，公共卫生保障有力，医疗服务能力显著提高，中西医均衡发展，</w:t>
      </w:r>
      <w:r>
        <w:rPr>
          <w:rFonts w:ascii="仿宋" w:hAnsi="仿宋" w:eastAsia="仿宋" w:cs="仿宋_GB2312"/>
          <w:bCs/>
          <w:snapToGrid w:val="0"/>
          <w:kern w:val="0"/>
          <w:sz w:val="32"/>
          <w:szCs w:val="32"/>
        </w:rPr>
        <w:t>居民健康素养全面提升，</w:t>
      </w:r>
      <w:r>
        <w:rPr>
          <w:rFonts w:hint="eastAsia" w:ascii="仿宋" w:hAnsi="仿宋" w:eastAsia="仿宋" w:cs="仿宋_GB2312"/>
          <w:bCs/>
          <w:snapToGrid w:val="0"/>
          <w:kern w:val="0"/>
          <w:sz w:val="32"/>
          <w:szCs w:val="32"/>
        </w:rPr>
        <w:t>深化医疗、医保、医药协同发展和治理，国家重大工程卫生保障和军民融合健康服务做实走深</w:t>
      </w:r>
      <w:r>
        <w:rPr>
          <w:rFonts w:ascii="仿宋" w:hAnsi="仿宋" w:eastAsia="仿宋" w:cs="仿宋_GB2312"/>
          <w:bCs/>
          <w:snapToGrid w:val="0"/>
          <w:kern w:val="0"/>
          <w:sz w:val="32"/>
          <w:szCs w:val="32"/>
        </w:rPr>
        <w:t>。</w:t>
      </w:r>
      <w:r>
        <w:rPr>
          <w:rFonts w:hint="eastAsia" w:ascii="仿宋" w:hAnsi="仿宋" w:eastAsia="仿宋" w:cs="仿宋_GB2312"/>
          <w:bCs/>
          <w:snapToGrid w:val="0"/>
          <w:kern w:val="0"/>
          <w:sz w:val="32"/>
          <w:szCs w:val="32"/>
        </w:rPr>
        <w:t>到2030年，人人享有高质量的健康服务和高水平的健康保障，居民健康水平不断提升，主要健康指标持续改善，人民群众的获得感、幸福感和安全感显著增强。</w:t>
      </w:r>
    </w:p>
    <w:bookmarkEnd w:id="90"/>
    <w:p w14:paraId="61C16E63">
      <w:pPr>
        <w:pBdr>
          <w:bottom w:val="single" w:color="FFFFFF" w:sz="4" w:space="0"/>
        </w:pBdr>
        <w:tabs>
          <w:tab w:val="left" w:pos="1440"/>
        </w:tabs>
        <w:adjustRightInd w:val="0"/>
        <w:snapToGrid w:val="0"/>
        <w:spacing w:line="360" w:lineRule="auto"/>
        <w:ind w:firstLine="643" w:firstLineChars="200"/>
        <w:rPr>
          <w:rFonts w:ascii="仿宋" w:hAnsi="仿宋" w:eastAsia="仿宋" w:cs="仿宋_GB2312"/>
          <w:b/>
          <w:bCs/>
          <w:snapToGrid w:val="0"/>
          <w:kern w:val="0"/>
          <w:sz w:val="32"/>
          <w:szCs w:val="32"/>
        </w:rPr>
      </w:pPr>
      <w:r>
        <w:rPr>
          <w:rFonts w:hint="eastAsia" w:ascii="仿宋" w:hAnsi="仿宋" w:eastAsia="仿宋" w:cs="仿宋_GB2312"/>
          <w:b/>
          <w:bCs/>
          <w:snapToGrid w:val="0"/>
          <w:kern w:val="0"/>
          <w:sz w:val="32"/>
          <w:szCs w:val="32"/>
        </w:rPr>
        <w:t>具体目标：</w:t>
      </w:r>
    </w:p>
    <w:p w14:paraId="3CDF8861">
      <w:pPr>
        <w:pBdr>
          <w:bottom w:val="single" w:color="FFFFFF" w:sz="4" w:space="0"/>
        </w:pBdr>
        <w:tabs>
          <w:tab w:val="left" w:pos="1440"/>
        </w:tabs>
        <w:adjustRightInd w:val="0"/>
        <w:snapToGrid w:val="0"/>
        <w:spacing w:line="360" w:lineRule="auto"/>
        <w:ind w:firstLine="643" w:firstLineChars="200"/>
        <w:rPr>
          <w:rFonts w:ascii="仿宋" w:hAnsi="仿宋" w:eastAsia="仿宋" w:cs="仿宋_GB2312"/>
          <w:snapToGrid w:val="0"/>
          <w:color w:val="000000"/>
          <w:kern w:val="0"/>
          <w:sz w:val="32"/>
          <w:szCs w:val="32"/>
        </w:rPr>
      </w:pPr>
      <w:r>
        <w:rPr>
          <w:rFonts w:ascii="仿宋" w:hAnsi="仿宋" w:eastAsia="仿宋" w:cs="??"/>
          <w:b/>
          <w:bCs/>
          <w:snapToGrid w:val="0"/>
          <w:color w:val="000000"/>
          <w:kern w:val="0"/>
          <w:sz w:val="32"/>
          <w:szCs w:val="32"/>
        </w:rPr>
        <w:t>——</w:t>
      </w:r>
      <w:r>
        <w:rPr>
          <w:rFonts w:hint="eastAsia" w:ascii="仿宋" w:hAnsi="仿宋" w:eastAsia="仿宋" w:cs="仿宋_GB2312"/>
          <w:b/>
          <w:bCs/>
          <w:snapToGrid w:val="0"/>
          <w:color w:val="000000"/>
          <w:kern w:val="0"/>
          <w:sz w:val="32"/>
          <w:szCs w:val="32"/>
        </w:rPr>
        <w:t>健康林芝行动有效实施，“大卫生、大健康”工作格局加快推进。</w:t>
      </w:r>
      <w:r>
        <w:rPr>
          <w:rFonts w:hint="eastAsia" w:ascii="仿宋" w:hAnsi="仿宋" w:eastAsia="仿宋" w:cs="仿宋_GB2312"/>
          <w:snapToGrid w:val="0"/>
          <w:color w:val="000000"/>
          <w:kern w:val="0"/>
          <w:sz w:val="32"/>
          <w:szCs w:val="32"/>
        </w:rPr>
        <w:t>健康促进政策体系更健全，市县两级跨部门健康协调机制、政府投资类重大项目健康影响评价基本全覆盖，重大公共政策健康影响评价制度全面建立，健康理念融入各领域全过程。到2030年，居民健康素养水平达30%以上，经常锻炼人数比例超40%，人均预期寿命提至74岁，“一老一小”健康服务覆盖率超95%，健康公平性和可及性获改善。</w:t>
      </w:r>
    </w:p>
    <w:p w14:paraId="768C0E89">
      <w:pPr>
        <w:pBdr>
          <w:bottom w:val="single" w:color="FFFFFF" w:sz="4" w:space="0"/>
        </w:pBdr>
        <w:tabs>
          <w:tab w:val="left" w:pos="1440"/>
        </w:tabs>
        <w:adjustRightInd w:val="0"/>
        <w:snapToGrid w:val="0"/>
        <w:spacing w:line="360" w:lineRule="auto"/>
        <w:ind w:firstLine="643" w:firstLineChars="200"/>
        <w:rPr>
          <w:rFonts w:ascii="仿宋" w:hAnsi="仿宋" w:eastAsia="仿宋" w:cs="仿宋_GB2312"/>
          <w:snapToGrid w:val="0"/>
          <w:color w:val="000000"/>
          <w:kern w:val="0"/>
          <w:sz w:val="32"/>
          <w:szCs w:val="32"/>
        </w:rPr>
      </w:pPr>
      <w:r>
        <w:rPr>
          <w:rFonts w:ascii="仿宋" w:hAnsi="仿宋" w:eastAsia="仿宋" w:cs="??"/>
          <w:b/>
          <w:bCs/>
          <w:snapToGrid w:val="0"/>
          <w:color w:val="000000"/>
          <w:kern w:val="0"/>
          <w:sz w:val="32"/>
          <w:szCs w:val="32"/>
        </w:rPr>
        <w:t>——</w:t>
      </w:r>
      <w:r>
        <w:rPr>
          <w:rFonts w:hint="eastAsia" w:ascii="仿宋" w:hAnsi="仿宋" w:eastAsia="仿宋" w:cs="仿宋_GB2312"/>
          <w:b/>
          <w:bCs/>
          <w:snapToGrid w:val="0"/>
          <w:color w:val="000000"/>
          <w:kern w:val="0"/>
          <w:sz w:val="32"/>
          <w:szCs w:val="32"/>
        </w:rPr>
        <w:t>公共卫生体系优化补强，突发公共卫生事件应对能力有效增强。</w:t>
      </w:r>
      <w:r>
        <w:rPr>
          <w:rFonts w:hint="eastAsia" w:ascii="仿宋" w:hAnsi="仿宋" w:eastAsia="仿宋" w:cs="仿宋_GB2312"/>
          <w:snapToGrid w:val="0"/>
          <w:color w:val="000000"/>
          <w:kern w:val="0"/>
          <w:sz w:val="32"/>
          <w:szCs w:val="32"/>
        </w:rPr>
        <w:t>构建强大的区内领先、灵敏高效、平急结合的公共卫生体系，</w:t>
      </w:r>
      <w:bookmarkStart w:id="92" w:name="OLE_LINK12"/>
      <w:bookmarkStart w:id="93" w:name="OLE_LINK16"/>
      <w:r>
        <w:rPr>
          <w:rFonts w:hint="eastAsia" w:ascii="仿宋" w:hAnsi="仿宋" w:eastAsia="仿宋" w:cs="仿宋_GB2312"/>
          <w:snapToGrid w:val="0"/>
          <w:color w:val="000000" w:themeColor="text1"/>
          <w:kern w:val="0"/>
          <w:sz w:val="32"/>
          <w:szCs w:val="32"/>
          <w14:textFill>
            <w14:solidFill>
              <w14:schemeClr w14:val="tx1"/>
            </w14:solidFill>
          </w14:textFill>
        </w:rPr>
        <w:t>区域疾控联合体</w:t>
      </w:r>
      <w:bookmarkEnd w:id="92"/>
      <w:bookmarkEnd w:id="93"/>
      <w:r>
        <w:rPr>
          <w:rFonts w:hint="eastAsia" w:ascii="仿宋" w:hAnsi="仿宋" w:eastAsia="仿宋" w:cs="仿宋_GB2312"/>
          <w:snapToGrid w:val="0"/>
          <w:color w:val="000000" w:themeColor="text1"/>
          <w:kern w:val="0"/>
          <w:sz w:val="32"/>
          <w:szCs w:val="32"/>
          <w14:textFill>
            <w14:solidFill>
              <w14:schemeClr w14:val="tx1"/>
            </w14:solidFill>
          </w14:textFill>
        </w:rPr>
        <w:t>运行高效</w:t>
      </w:r>
      <w:r>
        <w:rPr>
          <w:rFonts w:hint="eastAsia" w:ascii="仿宋" w:hAnsi="仿宋" w:eastAsia="仿宋" w:cs="仿宋_GB2312"/>
          <w:snapToGrid w:val="0"/>
          <w:color w:val="000000"/>
          <w:kern w:val="0"/>
          <w:sz w:val="32"/>
          <w:szCs w:val="32"/>
        </w:rPr>
        <w:t>，疾病预防控制体系现代化水平全面提升，卫生应急管理体系反应灵敏、智慧高效，基层</w:t>
      </w:r>
      <w:r>
        <w:rPr>
          <w:rFonts w:ascii="仿宋" w:hAnsi="仿宋" w:eastAsia="仿宋" w:cs="??"/>
          <w:snapToGrid w:val="0"/>
          <w:color w:val="000000"/>
          <w:kern w:val="0"/>
          <w:sz w:val="32"/>
          <w:szCs w:val="32"/>
        </w:rPr>
        <w:t>“</w:t>
      </w:r>
      <w:r>
        <w:rPr>
          <w:rFonts w:hint="eastAsia" w:ascii="仿宋" w:hAnsi="仿宋" w:eastAsia="仿宋" w:cs="仿宋_GB2312"/>
          <w:snapToGrid w:val="0"/>
          <w:color w:val="000000"/>
          <w:kern w:val="0"/>
          <w:sz w:val="32"/>
          <w:szCs w:val="32"/>
        </w:rPr>
        <w:t>网底</w:t>
      </w:r>
      <w:r>
        <w:rPr>
          <w:rFonts w:ascii="仿宋" w:hAnsi="仿宋" w:eastAsia="仿宋" w:cs="??"/>
          <w:snapToGrid w:val="0"/>
          <w:color w:val="000000"/>
          <w:kern w:val="0"/>
          <w:sz w:val="32"/>
          <w:szCs w:val="32"/>
        </w:rPr>
        <w:t>”</w:t>
      </w:r>
      <w:r>
        <w:rPr>
          <w:rFonts w:hint="eastAsia" w:ascii="仿宋" w:hAnsi="仿宋" w:eastAsia="仿宋" w:cs="仿宋_GB2312"/>
          <w:snapToGrid w:val="0"/>
          <w:color w:val="000000"/>
          <w:kern w:val="0"/>
          <w:sz w:val="32"/>
          <w:szCs w:val="32"/>
        </w:rPr>
        <w:t>愈加稳固，重大疫情医疗救治能力大幅增强，公共卫生安全保障得力。</w:t>
      </w:r>
    </w:p>
    <w:p w14:paraId="708DA4F7">
      <w:pPr>
        <w:pBdr>
          <w:bottom w:val="single" w:color="FFFFFF" w:sz="4" w:space="0"/>
        </w:pBdr>
        <w:tabs>
          <w:tab w:val="left" w:pos="1440"/>
        </w:tabs>
        <w:adjustRightInd w:val="0"/>
        <w:snapToGrid w:val="0"/>
        <w:spacing w:line="360" w:lineRule="auto"/>
        <w:ind w:firstLine="643" w:firstLineChars="200"/>
        <w:rPr>
          <w:rFonts w:ascii="仿宋" w:hAnsi="仿宋" w:eastAsia="仿宋" w:cs="Calibri"/>
          <w:snapToGrid w:val="0"/>
          <w:color w:val="FF0000"/>
          <w:kern w:val="0"/>
          <w:sz w:val="32"/>
          <w:szCs w:val="32"/>
        </w:rPr>
      </w:pPr>
      <w:r>
        <w:rPr>
          <w:rFonts w:ascii="仿宋" w:hAnsi="仿宋" w:eastAsia="仿宋" w:cs="??"/>
          <w:b/>
          <w:bCs/>
          <w:snapToGrid w:val="0"/>
          <w:color w:val="000000"/>
          <w:kern w:val="0"/>
          <w:sz w:val="32"/>
          <w:szCs w:val="32"/>
        </w:rPr>
        <w:t>——</w:t>
      </w:r>
      <w:r>
        <w:rPr>
          <w:rFonts w:hint="eastAsia" w:ascii="仿宋" w:hAnsi="仿宋" w:eastAsia="仿宋" w:cs="仿宋_GB2312"/>
          <w:b/>
          <w:bCs/>
          <w:snapToGrid w:val="0"/>
          <w:color w:val="000000"/>
          <w:kern w:val="0"/>
          <w:sz w:val="32"/>
          <w:szCs w:val="32"/>
        </w:rPr>
        <w:t>医疗服务体系不断完善，服务能力和水平全面提升。</w:t>
      </w:r>
      <w:r>
        <w:rPr>
          <w:rFonts w:hint="eastAsia" w:ascii="仿宋" w:hAnsi="仿宋" w:eastAsia="仿宋" w:cs="仿宋_GB2312"/>
          <w:snapToGrid w:val="0"/>
          <w:color w:val="000000"/>
          <w:kern w:val="0"/>
          <w:sz w:val="32"/>
          <w:szCs w:val="32"/>
        </w:rPr>
        <w:t>医疗资源配置更加合理优化，以“强基、稳二、控三”为导向，加快形成科学有序的分级诊疗体系。现代医院管理制度健全完善，公立医院高质量发展成效明显，藏医药服务体系特色优势得到充分发挥，县域内医疗服务能力整体提升，区域外转率持续下降。</w:t>
      </w:r>
    </w:p>
    <w:p w14:paraId="313546AB">
      <w:pPr>
        <w:pBdr>
          <w:bottom w:val="none" w:color="FFFFFF" w:sz="0" w:space="0"/>
        </w:pBdr>
        <w:tabs>
          <w:tab w:val="left" w:pos="1440"/>
        </w:tabs>
        <w:adjustRightInd w:val="0"/>
        <w:snapToGrid w:val="0"/>
        <w:spacing w:line="360" w:lineRule="auto"/>
        <w:ind w:firstLine="643" w:firstLineChars="200"/>
        <w:rPr>
          <w:rFonts w:ascii="仿宋" w:hAnsi="仿宋" w:eastAsia="仿宋" w:cs="仿宋_GB2312"/>
          <w:snapToGrid w:val="0"/>
          <w:color w:val="000000"/>
          <w:kern w:val="0"/>
          <w:sz w:val="32"/>
          <w:szCs w:val="32"/>
        </w:rPr>
      </w:pPr>
      <w:r>
        <w:rPr>
          <w:rFonts w:ascii="仿宋" w:hAnsi="仿宋" w:eastAsia="仿宋" w:cs="??"/>
          <w:b/>
          <w:bCs/>
          <w:snapToGrid w:val="0"/>
          <w:color w:val="000000"/>
          <w:kern w:val="0"/>
          <w:sz w:val="32"/>
          <w:szCs w:val="32"/>
        </w:rPr>
        <w:t>——</w:t>
      </w:r>
      <w:r>
        <w:rPr>
          <w:rFonts w:hint="eastAsia" w:ascii="仿宋" w:hAnsi="仿宋" w:eastAsia="仿宋" w:cs="??"/>
          <w:b/>
          <w:bCs/>
          <w:snapToGrid w:val="0"/>
          <w:color w:val="000000" w:themeColor="text1"/>
          <w:kern w:val="0"/>
          <w:sz w:val="32"/>
          <w:szCs w:val="32"/>
          <w14:textFill>
            <w14:solidFill>
              <w14:schemeClr w14:val="tx1"/>
            </w14:solidFill>
          </w14:textFill>
        </w:rPr>
        <w:t>管</w:t>
      </w:r>
      <w:r>
        <w:rPr>
          <w:rFonts w:hint="eastAsia" w:ascii="仿宋" w:hAnsi="仿宋" w:eastAsia="仿宋" w:cs="仿宋_GB2312"/>
          <w:b/>
          <w:bCs/>
          <w:snapToGrid w:val="0"/>
          <w:color w:val="000000" w:themeColor="text1"/>
          <w:kern w:val="0"/>
          <w:sz w:val="32"/>
          <w:szCs w:val="32"/>
          <w14:textFill>
            <w14:solidFill>
              <w14:schemeClr w14:val="tx1"/>
            </w14:solidFill>
          </w14:textFill>
        </w:rPr>
        <w:t>理效</w:t>
      </w:r>
      <w:r>
        <w:rPr>
          <w:rFonts w:hint="eastAsia" w:ascii="仿宋" w:hAnsi="仿宋" w:eastAsia="仿宋" w:cs="仿宋_GB2312"/>
          <w:b/>
          <w:bCs/>
          <w:snapToGrid w:val="0"/>
          <w:color w:val="000000"/>
          <w:kern w:val="0"/>
          <w:sz w:val="32"/>
          <w:szCs w:val="32"/>
        </w:rPr>
        <w:t>能显著提升，合作共赢的发展格局持续深化。</w:t>
      </w:r>
      <w:r>
        <w:rPr>
          <w:rFonts w:hint="eastAsia" w:ascii="仿宋" w:hAnsi="仿宋" w:eastAsia="仿宋" w:cs="仿宋_GB2312"/>
          <w:snapToGrid w:val="0"/>
          <w:color w:val="000000"/>
          <w:kern w:val="0"/>
          <w:sz w:val="32"/>
          <w:szCs w:val="32"/>
        </w:rPr>
        <w:t>深化医药卫生体制改革，健全“三医”协同发展机制，完善公立医院现代管理制度，充分激发各级医疗机构和医务人员的内生动力。坚持合作共赢原则，医疗卫生援藏模式持续创新</w:t>
      </w:r>
      <w:r>
        <w:rPr>
          <w:rFonts w:hint="eastAsia" w:ascii="仿宋" w:hAnsi="仿宋" w:eastAsia="仿宋" w:cs="仿宋_GB2312"/>
          <w:snapToGrid w:val="0"/>
          <w:kern w:val="0"/>
          <w:sz w:val="32"/>
          <w:szCs w:val="32"/>
        </w:rPr>
        <w:t>。</w:t>
      </w:r>
      <w:r>
        <w:rPr>
          <w:rFonts w:hint="eastAsia" w:ascii="仿宋" w:hAnsi="仿宋" w:eastAsia="仿宋" w:cs="仿宋_GB2312"/>
          <w:snapToGrid w:val="0"/>
          <w:color w:val="000000"/>
          <w:kern w:val="0"/>
          <w:sz w:val="32"/>
          <w:szCs w:val="32"/>
        </w:rPr>
        <w:t>医疗卫生行业监管体系健全完善，建立基于服务效能与质量评价的考核机制，推动机构运行提质增效。</w:t>
      </w:r>
    </w:p>
    <w:p w14:paraId="577F2A97">
      <w:pPr>
        <w:pBdr>
          <w:bottom w:val="none" w:color="FFFFFF" w:sz="0" w:space="0"/>
        </w:pBdr>
        <w:tabs>
          <w:tab w:val="left" w:pos="1440"/>
        </w:tabs>
        <w:adjustRightInd w:val="0"/>
        <w:snapToGrid w:val="0"/>
        <w:spacing w:line="360" w:lineRule="auto"/>
        <w:ind w:firstLine="643" w:firstLineChars="200"/>
        <w:rPr>
          <w:rFonts w:ascii="仿宋" w:hAnsi="仿宋" w:eastAsia="仿宋" w:cs="仿宋_GB2312"/>
          <w:snapToGrid w:val="0"/>
          <w:color w:val="000000" w:themeColor="text1"/>
          <w:kern w:val="0"/>
          <w:sz w:val="32"/>
          <w:szCs w:val="32"/>
          <w14:textFill>
            <w14:solidFill>
              <w14:schemeClr w14:val="tx1"/>
            </w14:solidFill>
          </w14:textFill>
        </w:rPr>
      </w:pPr>
      <w:r>
        <w:rPr>
          <w:rFonts w:hint="eastAsia" w:ascii="仿宋" w:hAnsi="仿宋" w:eastAsia="仿宋" w:cs="??"/>
          <w:b/>
          <w:bCs/>
          <w:snapToGrid w:val="0"/>
          <w:color w:val="000000" w:themeColor="text1"/>
          <w:kern w:val="0"/>
          <w:sz w:val="32"/>
          <w:szCs w:val="32"/>
          <w14:textFill>
            <w14:solidFill>
              <w14:schemeClr w14:val="tx1"/>
            </w14:solidFill>
          </w14:textFill>
        </w:rPr>
        <w:t>——</w:t>
      </w:r>
      <w:r>
        <w:rPr>
          <w:rFonts w:hint="eastAsia" w:ascii="仿宋" w:hAnsi="仿宋" w:eastAsia="仿宋" w:cs="仿宋_GB2312"/>
          <w:b/>
          <w:snapToGrid w:val="0"/>
          <w:color w:val="000000" w:themeColor="text1"/>
          <w:kern w:val="0"/>
          <w:sz w:val="32"/>
          <w:szCs w:val="32"/>
          <w14:textFill>
            <w14:solidFill>
              <w14:schemeClr w14:val="tx1"/>
            </w14:solidFill>
          </w14:textFill>
        </w:rPr>
        <w:t>国家</w:t>
      </w:r>
      <w:r>
        <w:rPr>
          <w:rFonts w:hint="eastAsia" w:ascii="仿宋" w:hAnsi="仿宋" w:eastAsia="仿宋" w:cs="??"/>
          <w:b/>
          <w:bCs/>
          <w:snapToGrid w:val="0"/>
          <w:color w:val="000000" w:themeColor="text1"/>
          <w:kern w:val="0"/>
          <w:sz w:val="32"/>
          <w:szCs w:val="32"/>
          <w14:textFill>
            <w14:solidFill>
              <w14:schemeClr w14:val="tx1"/>
            </w14:solidFill>
          </w14:textFill>
        </w:rPr>
        <w:t>重大工程项目支撑作用凸显，军民融合发展走深走</w:t>
      </w:r>
      <w:bookmarkStart w:id="306" w:name="_GoBack"/>
      <w:bookmarkEnd w:id="306"/>
      <w:r>
        <w:rPr>
          <w:rFonts w:hint="eastAsia" w:ascii="仿宋" w:hAnsi="仿宋" w:eastAsia="仿宋" w:cs="??"/>
          <w:b/>
          <w:bCs/>
          <w:snapToGrid w:val="0"/>
          <w:color w:val="000000" w:themeColor="text1"/>
          <w:kern w:val="0"/>
          <w:sz w:val="32"/>
          <w:szCs w:val="32"/>
          <w14:textFill>
            <w14:solidFill>
              <w14:schemeClr w14:val="tx1"/>
            </w14:solidFill>
          </w14:textFill>
        </w:rPr>
        <w:t>实。</w:t>
      </w:r>
      <w:r>
        <w:rPr>
          <w:rFonts w:hint="eastAsia" w:ascii="仿宋" w:hAnsi="仿宋" w:eastAsia="仿宋" w:cs="仿宋_GB2312"/>
          <w:snapToGrid w:val="0"/>
          <w:color w:val="000000" w:themeColor="text1"/>
          <w:kern w:val="0"/>
          <w:sz w:val="32"/>
          <w:szCs w:val="32"/>
          <w14:textFill>
            <w14:solidFill>
              <w14:schemeClr w14:val="tx1"/>
            </w14:solidFill>
          </w14:textFill>
        </w:rPr>
        <w:t>以重大工程项目为牵引，建立“开工-建设-运营”滚动保障机制。面向雅下水电、川藏铁路等重大工程，</w:t>
      </w:r>
      <w:r>
        <w:rPr>
          <w:rFonts w:hint="eastAsia" w:ascii="仿宋" w:hAnsi="仿宋" w:eastAsia="仿宋" w:cs="仿宋_GB2312"/>
          <w:snapToGrid w:val="0"/>
          <w:color w:val="000000" w:themeColor="text1"/>
          <w:kern w:val="0"/>
          <w:sz w:val="32"/>
          <w:szCs w:val="32"/>
          <w:highlight w:val="none"/>
          <w14:textFill>
            <w14:solidFill>
              <w14:schemeClr w14:val="tx1"/>
            </w14:solidFill>
          </w14:textFill>
        </w:rPr>
        <w:t>履行好属在地医疗</w:t>
      </w:r>
      <w:r>
        <w:rPr>
          <w:rFonts w:hint="eastAsia" w:ascii="仿宋" w:hAnsi="仿宋" w:eastAsia="仿宋" w:cs="仿宋_GB2312"/>
          <w:snapToGrid w:val="0"/>
          <w:color w:val="000000" w:themeColor="text1"/>
          <w:kern w:val="0"/>
          <w:sz w:val="32"/>
          <w:szCs w:val="32"/>
          <w14:textFill>
            <w14:solidFill>
              <w14:schemeClr w14:val="tx1"/>
            </w14:solidFill>
          </w14:textFill>
        </w:rPr>
        <w:t>卫生保障职能，积极构建更加完善的职业病防治、卫生监督、医学紧急救援体系。深化军地卫生健康融合，协同开展高原医学、野外急救等科研攻关。军地卫生联动、应急救援、人才培养、数据共享机制常态化运行，边防官兵、边境群众健康保障全面加强。</w:t>
      </w:r>
    </w:p>
    <w:p w14:paraId="11D4AD9F">
      <w:pPr>
        <w:pBdr>
          <w:bottom w:val="none" w:color="FFFFFF" w:sz="0" w:space="0"/>
        </w:pBdr>
        <w:adjustRightInd w:val="0"/>
        <w:snapToGrid w:val="0"/>
        <w:spacing w:line="560" w:lineRule="exact"/>
        <w:jc w:val="center"/>
        <w:rPr>
          <w:rFonts w:cs="Calibri" w:asciiTheme="minorEastAsia" w:hAnsiTheme="minorEastAsia"/>
          <w:b/>
          <w:bCs/>
          <w:snapToGrid w:val="0"/>
          <w:color w:val="FF0000"/>
          <w:kern w:val="0"/>
          <w:sz w:val="24"/>
          <w:szCs w:val="24"/>
        </w:rPr>
      </w:pPr>
      <w:bookmarkStart w:id="94" w:name="OLE_LINK14"/>
      <w:r>
        <w:rPr>
          <w:rFonts w:hint="eastAsia" w:cs="Calibri" w:asciiTheme="minorEastAsia" w:hAnsiTheme="minorEastAsia"/>
          <w:b/>
          <w:bCs/>
          <w:snapToGrid w:val="0"/>
          <w:kern w:val="0"/>
          <w:sz w:val="24"/>
          <w:szCs w:val="24"/>
        </w:rPr>
        <w:t>“十五五”时期林芝市卫生事业发展主要指标</w:t>
      </w:r>
    </w:p>
    <w:tbl>
      <w:tblPr>
        <w:tblStyle w:val="6"/>
        <w:tblpPr w:leftFromText="180" w:rightFromText="180" w:vertAnchor="text" w:horzAnchor="margin" w:tblpXSpec="center" w:tblpY="477"/>
        <w:tblW w:w="8379" w:type="dxa"/>
        <w:tblInd w:w="0" w:type="dxa"/>
        <w:tblLayout w:type="autofit"/>
        <w:tblCellMar>
          <w:top w:w="0" w:type="dxa"/>
          <w:left w:w="0" w:type="dxa"/>
          <w:bottom w:w="0" w:type="dxa"/>
          <w:right w:w="0" w:type="dxa"/>
        </w:tblCellMar>
      </w:tblPr>
      <w:tblGrid>
        <w:gridCol w:w="1290"/>
        <w:gridCol w:w="710"/>
        <w:gridCol w:w="3685"/>
        <w:gridCol w:w="1418"/>
        <w:gridCol w:w="1276"/>
      </w:tblGrid>
      <w:tr w14:paraId="4F1D0245">
        <w:tblPrEx>
          <w:tblCellMar>
            <w:top w:w="0" w:type="dxa"/>
            <w:left w:w="0" w:type="dxa"/>
            <w:bottom w:w="0" w:type="dxa"/>
            <w:right w:w="0" w:type="dxa"/>
          </w:tblCellMar>
        </w:tblPrEx>
        <w:trPr>
          <w:trHeight w:val="830" w:hRule="atLeast"/>
        </w:trPr>
        <w:tc>
          <w:tcPr>
            <w:tcW w:w="1290" w:type="dxa"/>
            <w:tcBorders>
              <w:top w:val="single" w:color="000000" w:sz="4" w:space="0"/>
              <w:left w:val="single" w:color="000000" w:sz="4" w:space="0"/>
              <w:right w:val="single" w:color="000000" w:sz="4" w:space="0"/>
            </w:tcBorders>
            <w:tcMar>
              <w:top w:w="15" w:type="dxa"/>
              <w:left w:w="15" w:type="dxa"/>
              <w:bottom w:w="75" w:type="dxa"/>
              <w:right w:w="15" w:type="dxa"/>
            </w:tcMar>
            <w:vAlign w:val="center"/>
          </w:tcPr>
          <w:p w14:paraId="118E00CA">
            <w:pPr>
              <w:widowControl/>
              <w:wordWrap w:val="0"/>
              <w:jc w:val="center"/>
              <w:rPr>
                <w:rFonts w:cs="宋体" w:asciiTheme="minorEastAsia" w:hAnsiTheme="minorEastAsia"/>
                <w:b/>
                <w:kern w:val="0"/>
                <w:szCs w:val="21"/>
              </w:rPr>
            </w:pPr>
            <w:bookmarkStart w:id="95" w:name="_Toc302056884"/>
            <w:bookmarkStart w:id="96" w:name="_Toc1342346848"/>
            <w:r>
              <w:rPr>
                <w:rFonts w:hint="eastAsia" w:cs="宋体" w:asciiTheme="minorEastAsia" w:hAnsiTheme="minorEastAsia"/>
                <w:b/>
                <w:kern w:val="0"/>
                <w:szCs w:val="21"/>
              </w:rPr>
              <w:t>指标类别</w:t>
            </w:r>
          </w:p>
        </w:tc>
        <w:tc>
          <w:tcPr>
            <w:tcW w:w="710" w:type="dxa"/>
            <w:tcBorders>
              <w:top w:val="single" w:color="000000" w:sz="4" w:space="0"/>
              <w:left w:val="single" w:color="000000" w:sz="4" w:space="0"/>
              <w:right w:val="single" w:color="000000" w:sz="4" w:space="0"/>
            </w:tcBorders>
            <w:tcMar>
              <w:top w:w="15" w:type="dxa"/>
              <w:left w:w="15" w:type="dxa"/>
              <w:bottom w:w="75" w:type="dxa"/>
              <w:right w:w="15" w:type="dxa"/>
            </w:tcMar>
            <w:vAlign w:val="center"/>
          </w:tcPr>
          <w:p w14:paraId="217B2A27">
            <w:pPr>
              <w:widowControl/>
              <w:wordWrap w:val="0"/>
              <w:jc w:val="center"/>
              <w:rPr>
                <w:rFonts w:cs="宋体" w:asciiTheme="minorEastAsia" w:hAnsiTheme="minorEastAsia"/>
                <w:b/>
                <w:kern w:val="0"/>
                <w:szCs w:val="21"/>
              </w:rPr>
            </w:pPr>
            <w:r>
              <w:rPr>
                <w:rFonts w:hint="eastAsia" w:cs="宋体" w:asciiTheme="minorEastAsia" w:hAnsiTheme="minorEastAsia"/>
                <w:b/>
                <w:kern w:val="0"/>
                <w:szCs w:val="21"/>
              </w:rPr>
              <w:t>序号</w:t>
            </w:r>
          </w:p>
        </w:tc>
        <w:tc>
          <w:tcPr>
            <w:tcW w:w="3685" w:type="dxa"/>
            <w:tcBorders>
              <w:top w:val="single" w:color="000000" w:sz="4" w:space="0"/>
              <w:left w:val="single" w:color="000000" w:sz="4" w:space="0"/>
              <w:right w:val="single" w:color="000000" w:sz="4" w:space="0"/>
            </w:tcBorders>
            <w:tcMar>
              <w:top w:w="15" w:type="dxa"/>
              <w:left w:w="15" w:type="dxa"/>
              <w:bottom w:w="75" w:type="dxa"/>
              <w:right w:w="15" w:type="dxa"/>
            </w:tcMar>
            <w:vAlign w:val="center"/>
          </w:tcPr>
          <w:p w14:paraId="123411B2">
            <w:pPr>
              <w:widowControl/>
              <w:wordWrap w:val="0"/>
              <w:jc w:val="center"/>
              <w:rPr>
                <w:rFonts w:cs="宋体" w:asciiTheme="minorEastAsia" w:hAnsiTheme="minorEastAsia"/>
                <w:b/>
                <w:kern w:val="0"/>
                <w:szCs w:val="21"/>
              </w:rPr>
            </w:pPr>
            <w:r>
              <w:rPr>
                <w:rFonts w:hint="eastAsia" w:cs="宋体" w:asciiTheme="minorEastAsia" w:hAnsiTheme="minorEastAsia"/>
                <w:b/>
                <w:kern w:val="0"/>
                <w:szCs w:val="21"/>
              </w:rPr>
              <w:t>指标名称</w:t>
            </w:r>
          </w:p>
        </w:tc>
        <w:tc>
          <w:tcPr>
            <w:tcW w:w="1418" w:type="dxa"/>
            <w:tcBorders>
              <w:top w:val="single" w:color="000000" w:sz="4" w:space="0"/>
              <w:left w:val="single" w:color="000000" w:sz="4" w:space="0"/>
              <w:right w:val="single" w:color="auto" w:sz="4" w:space="0"/>
            </w:tcBorders>
            <w:tcMar>
              <w:top w:w="15" w:type="dxa"/>
              <w:left w:w="15" w:type="dxa"/>
              <w:bottom w:w="75" w:type="dxa"/>
              <w:right w:w="15" w:type="dxa"/>
            </w:tcMar>
            <w:vAlign w:val="center"/>
          </w:tcPr>
          <w:p w14:paraId="68DF8C45">
            <w:pPr>
              <w:wordWrap w:val="0"/>
              <w:jc w:val="center"/>
              <w:rPr>
                <w:rFonts w:ascii="Times New Roman" w:hAnsi="Times New Roman" w:cs="Times New Roman"/>
                <w:b/>
                <w:kern w:val="0"/>
                <w:szCs w:val="21"/>
              </w:rPr>
            </w:pPr>
            <w:r>
              <w:rPr>
                <w:rFonts w:ascii="Times New Roman" w:hAnsi="Times New Roman" w:cs="Times New Roman"/>
                <w:b/>
                <w:kern w:val="0"/>
                <w:szCs w:val="21"/>
              </w:rPr>
              <w:t>2030年</w:t>
            </w:r>
            <w:r>
              <w:rPr>
                <w:rFonts w:hint="eastAsia" w:ascii="Times New Roman" w:hAnsi="Times New Roman" w:cs="Times New Roman"/>
                <w:b/>
                <w:kern w:val="0"/>
                <w:szCs w:val="21"/>
              </w:rPr>
              <w:t>目标值</w:t>
            </w:r>
          </w:p>
          <w:p w14:paraId="7ED8E1A1">
            <w:pPr>
              <w:wordWrap w:val="0"/>
              <w:jc w:val="center"/>
              <w:rPr>
                <w:rFonts w:ascii="Times New Roman" w:hAnsi="Times New Roman" w:cs="Times New Roman"/>
                <w:b/>
                <w:kern w:val="0"/>
                <w:szCs w:val="21"/>
              </w:rPr>
            </w:pPr>
          </w:p>
        </w:tc>
        <w:tc>
          <w:tcPr>
            <w:tcW w:w="1276" w:type="dxa"/>
            <w:tcBorders>
              <w:top w:val="single" w:color="000000" w:sz="4" w:space="0"/>
              <w:left w:val="single" w:color="auto" w:sz="4" w:space="0"/>
              <w:right w:val="single" w:color="000000" w:sz="4" w:space="0"/>
            </w:tcBorders>
            <w:vAlign w:val="center"/>
          </w:tcPr>
          <w:p w14:paraId="790C5E4F">
            <w:pPr>
              <w:wordWrap w:val="0"/>
              <w:jc w:val="center"/>
              <w:rPr>
                <w:rFonts w:cs="宋体" w:asciiTheme="minorEastAsia" w:hAnsiTheme="minorEastAsia"/>
                <w:b/>
                <w:kern w:val="0"/>
                <w:szCs w:val="21"/>
              </w:rPr>
            </w:pPr>
            <w:r>
              <w:rPr>
                <w:rFonts w:hint="eastAsia" w:cs="宋体" w:asciiTheme="minorEastAsia" w:hAnsiTheme="minorEastAsia"/>
                <w:b/>
                <w:kern w:val="0"/>
                <w:szCs w:val="21"/>
              </w:rPr>
              <w:t>指标属性</w:t>
            </w:r>
          </w:p>
        </w:tc>
      </w:tr>
      <w:tr w14:paraId="3DEF8163">
        <w:tblPrEx>
          <w:tblCellMar>
            <w:top w:w="0" w:type="dxa"/>
            <w:left w:w="0" w:type="dxa"/>
            <w:bottom w:w="0" w:type="dxa"/>
            <w:right w:w="0" w:type="dxa"/>
          </w:tblCellMar>
        </w:tblPrEx>
        <w:tc>
          <w:tcPr>
            <w:tcW w:w="1290" w:type="dxa"/>
            <w:vMerge w:val="restart"/>
            <w:tcBorders>
              <w:top w:val="single" w:color="000000" w:sz="4" w:space="0"/>
              <w:left w:val="single" w:color="000000" w:sz="4" w:space="0"/>
              <w:right w:val="single" w:color="000000" w:sz="4" w:space="0"/>
            </w:tcBorders>
            <w:tcMar>
              <w:top w:w="15" w:type="dxa"/>
              <w:left w:w="15" w:type="dxa"/>
              <w:bottom w:w="75" w:type="dxa"/>
              <w:right w:w="15" w:type="dxa"/>
            </w:tcMar>
            <w:vAlign w:val="center"/>
          </w:tcPr>
          <w:p w14:paraId="4BAE3DC1">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健康水平</w:t>
            </w: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701F2A3E">
            <w:pPr>
              <w:widowControl/>
              <w:wordWrap w:val="0"/>
              <w:jc w:val="center"/>
              <w:rPr>
                <w:rFonts w:ascii="Times New Roman" w:hAnsi="Times New Roman" w:cs="Times New Roman"/>
                <w:kern w:val="0"/>
                <w:szCs w:val="21"/>
              </w:rPr>
            </w:pPr>
            <w:r>
              <w:rPr>
                <w:rFonts w:ascii="Times New Roman" w:hAnsi="Times New Roman" w:cs="Times New Roman"/>
                <w:kern w:val="0"/>
                <w:szCs w:val="21"/>
              </w:rPr>
              <w:t>1</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330300BE">
            <w:pPr>
              <w:widowControl/>
              <w:wordWrap w:val="0"/>
              <w:jc w:val="center"/>
              <w:rPr>
                <w:rFonts w:ascii="Times New Roman" w:hAnsi="Times New Roman" w:cs="Times New Roman"/>
                <w:kern w:val="0"/>
                <w:szCs w:val="21"/>
              </w:rPr>
            </w:pPr>
            <w:r>
              <w:rPr>
                <w:rFonts w:ascii="Times New Roman" w:hAnsi="Times New Roman" w:cs="Times New Roman"/>
                <w:kern w:val="0"/>
                <w:szCs w:val="21"/>
              </w:rPr>
              <w:t>人均预期寿命（岁）</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3CEF08AA">
            <w:pPr>
              <w:widowControl/>
              <w:wordWrap w:val="0"/>
              <w:jc w:val="center"/>
              <w:rPr>
                <w:rFonts w:ascii="Times New Roman" w:hAnsi="Times New Roman" w:cs="Times New Roman"/>
                <w:kern w:val="0"/>
                <w:szCs w:val="21"/>
              </w:rPr>
            </w:pPr>
            <w:r>
              <w:rPr>
                <w:rFonts w:ascii="Times New Roman" w:hAnsi="Times New Roman" w:cs="Times New Roman"/>
                <w:kern w:val="0"/>
                <w:szCs w:val="21"/>
              </w:rPr>
              <w:t>≥</w:t>
            </w:r>
            <w:r>
              <w:rPr>
                <w:rFonts w:hint="eastAsia" w:ascii="Times New Roman" w:hAnsi="Times New Roman" w:cs="Times New Roman"/>
                <w:kern w:val="0"/>
                <w:szCs w:val="21"/>
              </w:rPr>
              <w:t>74</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4087D5C5">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预期性</w:t>
            </w:r>
          </w:p>
        </w:tc>
      </w:tr>
      <w:tr w14:paraId="7BA26CBB">
        <w:tblPrEx>
          <w:tblCellMar>
            <w:top w:w="0" w:type="dxa"/>
            <w:left w:w="0" w:type="dxa"/>
            <w:bottom w:w="0" w:type="dxa"/>
            <w:right w:w="0" w:type="dxa"/>
          </w:tblCellMar>
        </w:tblPrEx>
        <w:tc>
          <w:tcPr>
            <w:tcW w:w="1290" w:type="dxa"/>
            <w:vMerge w:val="continue"/>
            <w:tcBorders>
              <w:left w:val="single" w:color="000000" w:sz="4" w:space="0"/>
              <w:right w:val="single" w:color="000000" w:sz="4" w:space="0"/>
            </w:tcBorders>
            <w:vAlign w:val="center"/>
          </w:tcPr>
          <w:p w14:paraId="663732F7">
            <w:pPr>
              <w:widowControl/>
              <w:jc w:val="left"/>
              <w:rPr>
                <w:rFonts w:cs="宋体" w:asciiTheme="minorEastAsia" w:hAnsiTheme="minorEastAsia"/>
                <w:kern w:val="0"/>
                <w:szCs w:val="21"/>
              </w:rPr>
            </w:pP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5DC3231F">
            <w:pPr>
              <w:widowControl/>
              <w:wordWrap w:val="0"/>
              <w:jc w:val="center"/>
              <w:rPr>
                <w:rFonts w:ascii="Times New Roman" w:hAnsi="Times New Roman" w:cs="Times New Roman"/>
                <w:kern w:val="0"/>
                <w:szCs w:val="21"/>
              </w:rPr>
            </w:pPr>
            <w:r>
              <w:rPr>
                <w:rFonts w:ascii="Times New Roman" w:hAnsi="Times New Roman" w:cs="Times New Roman"/>
                <w:kern w:val="0"/>
                <w:szCs w:val="21"/>
              </w:rPr>
              <w:t>2</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3FBC19F3">
            <w:pPr>
              <w:widowControl/>
              <w:wordWrap w:val="0"/>
              <w:jc w:val="center"/>
              <w:rPr>
                <w:rFonts w:ascii="Times New Roman" w:hAnsi="Times New Roman" w:cs="Times New Roman"/>
                <w:kern w:val="0"/>
                <w:szCs w:val="21"/>
              </w:rPr>
            </w:pPr>
            <w:r>
              <w:rPr>
                <w:rFonts w:ascii="Times New Roman" w:hAnsi="Times New Roman" w:cs="Times New Roman"/>
                <w:kern w:val="0"/>
                <w:szCs w:val="21"/>
              </w:rPr>
              <w:t>婴儿死亡率（‰）</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5978ADDF">
            <w:pPr>
              <w:widowControl/>
              <w:wordWrap w:val="0"/>
              <w:jc w:val="center"/>
              <w:rPr>
                <w:rFonts w:ascii="Times New Roman" w:hAnsi="Times New Roman" w:cs="Times New Roman"/>
                <w:kern w:val="0"/>
                <w:szCs w:val="21"/>
              </w:rPr>
            </w:pPr>
            <w:r>
              <w:rPr>
                <w:rFonts w:ascii="Times New Roman" w:hAnsi="Times New Roman" w:cs="Times New Roman"/>
                <w:kern w:val="0"/>
                <w:szCs w:val="21"/>
              </w:rPr>
              <w:t>≤5</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43FB0B53">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预期性</w:t>
            </w:r>
          </w:p>
        </w:tc>
      </w:tr>
      <w:tr w14:paraId="6A0A46E5">
        <w:tblPrEx>
          <w:tblCellMar>
            <w:top w:w="0" w:type="dxa"/>
            <w:left w:w="0" w:type="dxa"/>
            <w:bottom w:w="0" w:type="dxa"/>
            <w:right w:w="0" w:type="dxa"/>
          </w:tblCellMar>
        </w:tblPrEx>
        <w:tc>
          <w:tcPr>
            <w:tcW w:w="1290" w:type="dxa"/>
            <w:vMerge w:val="continue"/>
            <w:tcBorders>
              <w:left w:val="single" w:color="000000" w:sz="4" w:space="0"/>
              <w:right w:val="single" w:color="000000" w:sz="4" w:space="0"/>
            </w:tcBorders>
            <w:vAlign w:val="center"/>
          </w:tcPr>
          <w:p w14:paraId="6321A83B">
            <w:pPr>
              <w:widowControl/>
              <w:jc w:val="left"/>
              <w:rPr>
                <w:rFonts w:cs="宋体" w:asciiTheme="minorEastAsia" w:hAnsiTheme="minorEastAsia"/>
                <w:kern w:val="0"/>
                <w:szCs w:val="21"/>
              </w:rPr>
            </w:pP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62FBE273">
            <w:pPr>
              <w:widowControl/>
              <w:wordWrap w:val="0"/>
              <w:jc w:val="center"/>
              <w:rPr>
                <w:rFonts w:ascii="Times New Roman" w:hAnsi="Times New Roman" w:cs="Times New Roman"/>
                <w:kern w:val="0"/>
                <w:szCs w:val="21"/>
              </w:rPr>
            </w:pPr>
            <w:r>
              <w:rPr>
                <w:rFonts w:ascii="Times New Roman" w:hAnsi="Times New Roman" w:cs="Times New Roman"/>
                <w:kern w:val="0"/>
                <w:szCs w:val="21"/>
              </w:rPr>
              <w:t>3</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54718A77">
            <w:pPr>
              <w:widowControl/>
              <w:wordWrap w:val="0"/>
              <w:jc w:val="center"/>
              <w:rPr>
                <w:rFonts w:ascii="Times New Roman" w:hAnsi="Times New Roman" w:cs="Times New Roman"/>
                <w:kern w:val="0"/>
                <w:szCs w:val="21"/>
              </w:rPr>
            </w:pPr>
            <w:r>
              <w:rPr>
                <w:rFonts w:ascii="Times New Roman" w:hAnsi="Times New Roman" w:cs="Times New Roman"/>
                <w:kern w:val="0"/>
                <w:szCs w:val="21"/>
              </w:rPr>
              <w:t>孕产妇死亡率（1/10万）</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7C5150AD">
            <w:pPr>
              <w:widowControl/>
              <w:wordWrap w:val="0"/>
              <w:jc w:val="center"/>
              <w:rPr>
                <w:rFonts w:ascii="Times New Roman" w:hAnsi="Times New Roman" w:cs="Times New Roman"/>
                <w:kern w:val="0"/>
                <w:szCs w:val="21"/>
              </w:rPr>
            </w:pPr>
            <w:r>
              <w:rPr>
                <w:rFonts w:ascii="Times New Roman" w:hAnsi="Times New Roman" w:cs="Times New Roman"/>
                <w:kern w:val="0"/>
                <w:szCs w:val="21"/>
              </w:rPr>
              <w:t>≤25</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1814C2C3">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预期性</w:t>
            </w:r>
          </w:p>
        </w:tc>
      </w:tr>
      <w:tr w14:paraId="6C53DDBD">
        <w:tblPrEx>
          <w:tblCellMar>
            <w:top w:w="0" w:type="dxa"/>
            <w:left w:w="0" w:type="dxa"/>
            <w:bottom w:w="0" w:type="dxa"/>
            <w:right w:w="0" w:type="dxa"/>
          </w:tblCellMar>
        </w:tblPrEx>
        <w:tc>
          <w:tcPr>
            <w:tcW w:w="1290" w:type="dxa"/>
            <w:vMerge w:val="continue"/>
            <w:tcBorders>
              <w:left w:val="single" w:color="000000" w:sz="4" w:space="0"/>
              <w:right w:val="single" w:color="000000" w:sz="4" w:space="0"/>
            </w:tcBorders>
            <w:vAlign w:val="center"/>
          </w:tcPr>
          <w:p w14:paraId="100F1399">
            <w:pPr>
              <w:widowControl/>
              <w:jc w:val="left"/>
              <w:rPr>
                <w:rFonts w:cs="宋体" w:asciiTheme="minorEastAsia" w:hAnsiTheme="minorEastAsia"/>
                <w:kern w:val="0"/>
                <w:szCs w:val="21"/>
              </w:rPr>
            </w:pP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130A7E63">
            <w:pPr>
              <w:widowControl/>
              <w:wordWrap w:val="0"/>
              <w:jc w:val="center"/>
              <w:rPr>
                <w:rFonts w:ascii="Times New Roman" w:hAnsi="Times New Roman" w:cs="Times New Roman"/>
                <w:kern w:val="0"/>
                <w:szCs w:val="21"/>
              </w:rPr>
            </w:pPr>
            <w:r>
              <w:rPr>
                <w:rFonts w:ascii="Times New Roman" w:hAnsi="Times New Roman" w:cs="Times New Roman"/>
                <w:kern w:val="0"/>
                <w:szCs w:val="21"/>
              </w:rPr>
              <w:t>4</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7FFFC158">
            <w:pPr>
              <w:widowControl/>
              <w:wordWrap w:val="0"/>
              <w:jc w:val="center"/>
              <w:rPr>
                <w:rFonts w:ascii="Times New Roman" w:hAnsi="Times New Roman" w:cs="Times New Roman"/>
                <w:kern w:val="0"/>
                <w:szCs w:val="21"/>
              </w:rPr>
            </w:pPr>
            <w:r>
              <w:rPr>
                <w:rFonts w:ascii="Times New Roman" w:hAnsi="Times New Roman" w:cs="Times New Roman"/>
                <w:kern w:val="0"/>
                <w:szCs w:val="21"/>
              </w:rPr>
              <w:t>重大慢性病过早死亡率（%）</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00D70ABA">
            <w:pPr>
              <w:widowControl/>
              <w:wordWrap w:val="0"/>
              <w:jc w:val="center"/>
              <w:rPr>
                <w:rFonts w:ascii="Times New Roman" w:hAnsi="Times New Roman" w:cs="Times New Roman"/>
                <w:kern w:val="0"/>
                <w:szCs w:val="21"/>
              </w:rPr>
            </w:pPr>
            <w:r>
              <w:rPr>
                <w:rFonts w:ascii="Times New Roman" w:hAnsi="Times New Roman" w:cs="Times New Roman"/>
                <w:kern w:val="0"/>
                <w:szCs w:val="21"/>
              </w:rPr>
              <w:t>≤</w:t>
            </w:r>
            <w:r>
              <w:rPr>
                <w:rFonts w:hint="eastAsia" w:ascii="Times New Roman" w:hAnsi="Times New Roman" w:cs="Times New Roman"/>
                <w:kern w:val="0"/>
                <w:szCs w:val="21"/>
              </w:rPr>
              <w:t>13</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182176D2">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预期性</w:t>
            </w:r>
          </w:p>
        </w:tc>
      </w:tr>
      <w:tr w14:paraId="03712916">
        <w:tblPrEx>
          <w:tblCellMar>
            <w:top w:w="0" w:type="dxa"/>
            <w:left w:w="0" w:type="dxa"/>
            <w:bottom w:w="0" w:type="dxa"/>
            <w:right w:w="0" w:type="dxa"/>
          </w:tblCellMar>
        </w:tblPrEx>
        <w:tc>
          <w:tcPr>
            <w:tcW w:w="1290" w:type="dxa"/>
            <w:vMerge w:val="continue"/>
            <w:tcBorders>
              <w:left w:val="single" w:color="000000" w:sz="4" w:space="0"/>
              <w:right w:val="single" w:color="000000" w:sz="4" w:space="0"/>
            </w:tcBorders>
            <w:vAlign w:val="center"/>
          </w:tcPr>
          <w:p w14:paraId="783A5B3E">
            <w:pPr>
              <w:widowControl/>
              <w:jc w:val="left"/>
              <w:rPr>
                <w:rFonts w:cs="宋体" w:asciiTheme="minorEastAsia" w:hAnsiTheme="minorEastAsia"/>
                <w:kern w:val="0"/>
                <w:szCs w:val="21"/>
              </w:rPr>
            </w:pP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4DF351DD">
            <w:pPr>
              <w:widowControl/>
              <w:wordWrap w:val="0"/>
              <w:jc w:val="center"/>
              <w:rPr>
                <w:rFonts w:ascii="Times New Roman" w:hAnsi="Times New Roman" w:cs="Times New Roman"/>
                <w:kern w:val="0"/>
                <w:szCs w:val="21"/>
              </w:rPr>
            </w:pPr>
            <w:r>
              <w:rPr>
                <w:rFonts w:ascii="Times New Roman" w:hAnsi="Times New Roman" w:cs="Times New Roman"/>
                <w:kern w:val="0"/>
                <w:szCs w:val="21"/>
              </w:rPr>
              <w:t>5</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38808F5E">
            <w:pPr>
              <w:widowControl/>
              <w:wordWrap w:val="0"/>
              <w:jc w:val="center"/>
              <w:rPr>
                <w:rFonts w:ascii="Times New Roman" w:hAnsi="Times New Roman" w:cs="Times New Roman"/>
                <w:kern w:val="0"/>
                <w:szCs w:val="21"/>
              </w:rPr>
            </w:pPr>
            <w:r>
              <w:rPr>
                <w:rFonts w:ascii="Times New Roman" w:hAnsi="Times New Roman" w:cs="Times New Roman"/>
                <w:kern w:val="0"/>
                <w:szCs w:val="21"/>
              </w:rPr>
              <w:t>儿童青少年总体近视率（%）</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2FA93709">
            <w:pPr>
              <w:widowControl/>
              <w:wordWrap w:val="0"/>
              <w:jc w:val="center"/>
              <w:rPr>
                <w:rFonts w:ascii="Times New Roman" w:hAnsi="Times New Roman" w:cs="Times New Roman"/>
                <w:kern w:val="0"/>
                <w:szCs w:val="21"/>
              </w:rPr>
            </w:pPr>
            <w:r>
              <w:rPr>
                <w:rFonts w:hint="eastAsia" w:ascii="Times New Roman" w:hAnsi="Times New Roman" w:cs="Times New Roman"/>
                <w:kern w:val="0"/>
                <w:szCs w:val="21"/>
              </w:rPr>
              <w:t>&lt;45</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364C4885">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预期性</w:t>
            </w:r>
          </w:p>
        </w:tc>
      </w:tr>
      <w:tr w14:paraId="14BAA6F8">
        <w:tblPrEx>
          <w:tblCellMar>
            <w:top w:w="0" w:type="dxa"/>
            <w:left w:w="0" w:type="dxa"/>
            <w:bottom w:w="0" w:type="dxa"/>
            <w:right w:w="0" w:type="dxa"/>
          </w:tblCellMar>
        </w:tblPrEx>
        <w:tc>
          <w:tcPr>
            <w:tcW w:w="1290" w:type="dxa"/>
            <w:vMerge w:val="continue"/>
            <w:tcBorders>
              <w:left w:val="single" w:color="000000" w:sz="4" w:space="0"/>
              <w:right w:val="single" w:color="000000" w:sz="4" w:space="0"/>
            </w:tcBorders>
            <w:vAlign w:val="center"/>
          </w:tcPr>
          <w:p w14:paraId="65EB988A">
            <w:pPr>
              <w:widowControl/>
              <w:jc w:val="left"/>
              <w:rPr>
                <w:rFonts w:cs="宋体" w:asciiTheme="minorEastAsia" w:hAnsiTheme="minorEastAsia"/>
                <w:kern w:val="0"/>
                <w:szCs w:val="21"/>
              </w:rPr>
            </w:pP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407F882D">
            <w:pPr>
              <w:widowControl/>
              <w:wordWrap w:val="0"/>
              <w:jc w:val="center"/>
              <w:rPr>
                <w:rFonts w:ascii="Times New Roman" w:hAnsi="Times New Roman" w:cs="Times New Roman"/>
                <w:kern w:val="0"/>
                <w:szCs w:val="21"/>
              </w:rPr>
            </w:pPr>
            <w:r>
              <w:rPr>
                <w:rFonts w:ascii="Times New Roman" w:hAnsi="Times New Roman" w:cs="Times New Roman"/>
                <w:kern w:val="0"/>
                <w:szCs w:val="21"/>
              </w:rPr>
              <w:t>6</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789049E4">
            <w:pPr>
              <w:widowControl/>
              <w:wordWrap w:val="0"/>
              <w:jc w:val="center"/>
              <w:rPr>
                <w:rFonts w:ascii="Times New Roman" w:hAnsi="Times New Roman" w:cs="Times New Roman"/>
                <w:kern w:val="0"/>
                <w:szCs w:val="21"/>
              </w:rPr>
            </w:pPr>
            <w:bookmarkStart w:id="97" w:name="OLE_LINK1"/>
            <w:r>
              <w:rPr>
                <w:rFonts w:ascii="Times New Roman" w:hAnsi="Times New Roman" w:cs="Times New Roman"/>
                <w:kern w:val="0"/>
                <w:szCs w:val="21"/>
              </w:rPr>
              <w:t>5岁以下儿童死亡率（‰）</w:t>
            </w:r>
            <w:bookmarkEnd w:id="97"/>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3CC40238">
            <w:pPr>
              <w:widowControl/>
              <w:wordWrap w:val="0"/>
              <w:jc w:val="center"/>
              <w:rPr>
                <w:rFonts w:ascii="Times New Roman" w:hAnsi="Times New Roman" w:cs="Times New Roman"/>
                <w:kern w:val="0"/>
                <w:szCs w:val="21"/>
              </w:rPr>
            </w:pPr>
            <w:r>
              <w:rPr>
                <w:rFonts w:ascii="Times New Roman" w:hAnsi="Times New Roman" w:cs="Times New Roman"/>
                <w:kern w:val="0"/>
                <w:szCs w:val="21"/>
              </w:rPr>
              <w:t>≤8</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4120B17D">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预期性</w:t>
            </w:r>
          </w:p>
        </w:tc>
      </w:tr>
      <w:tr w14:paraId="6861F46E">
        <w:tblPrEx>
          <w:tblCellMar>
            <w:top w:w="0" w:type="dxa"/>
            <w:left w:w="0" w:type="dxa"/>
            <w:bottom w:w="0" w:type="dxa"/>
            <w:right w:w="0" w:type="dxa"/>
          </w:tblCellMar>
        </w:tblPrEx>
        <w:tc>
          <w:tcPr>
            <w:tcW w:w="1290" w:type="dxa"/>
            <w:vMerge w:val="continue"/>
            <w:tcBorders>
              <w:left w:val="single" w:color="000000" w:sz="4" w:space="0"/>
              <w:right w:val="single" w:color="000000" w:sz="4" w:space="0"/>
            </w:tcBorders>
            <w:vAlign w:val="center"/>
          </w:tcPr>
          <w:p w14:paraId="73C115B6">
            <w:pPr>
              <w:widowControl/>
              <w:jc w:val="left"/>
              <w:rPr>
                <w:rFonts w:cs="宋体" w:asciiTheme="minorEastAsia" w:hAnsiTheme="minorEastAsia"/>
                <w:kern w:val="0"/>
                <w:szCs w:val="21"/>
              </w:rPr>
            </w:pP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743A8348">
            <w:pPr>
              <w:widowControl/>
              <w:wordWrap w:val="0"/>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7</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2BAD2EF5">
            <w:pPr>
              <w:widowControl/>
              <w:wordWrap w:val="0"/>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心脑血管疾病死亡率（1/10万）</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6B42379B">
            <w:pPr>
              <w:widowControl/>
              <w:wordWrap w:val="0"/>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w:t>
            </w:r>
            <w:r>
              <w:rPr>
                <w:rFonts w:hint="eastAsia" w:ascii="Times New Roman" w:hAnsi="Times New Roman" w:cs="Times New Roman"/>
                <w:color w:val="000000" w:themeColor="text1"/>
                <w:kern w:val="0"/>
                <w:szCs w:val="21"/>
                <w14:textFill>
                  <w14:solidFill>
                    <w14:schemeClr w14:val="tx1"/>
                  </w14:solidFill>
                </w14:textFill>
              </w:rPr>
              <w:t>190.7</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17A297F2">
            <w:pPr>
              <w:widowControl/>
              <w:wordWrap w:val="0"/>
              <w:jc w:val="center"/>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预期性</w:t>
            </w:r>
          </w:p>
        </w:tc>
      </w:tr>
      <w:tr w14:paraId="10A6AE6E">
        <w:tblPrEx>
          <w:tblCellMar>
            <w:top w:w="0" w:type="dxa"/>
            <w:left w:w="0" w:type="dxa"/>
            <w:bottom w:w="0" w:type="dxa"/>
            <w:right w:w="0" w:type="dxa"/>
          </w:tblCellMar>
        </w:tblPrEx>
        <w:tc>
          <w:tcPr>
            <w:tcW w:w="12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1E6BE084">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健康生活</w:t>
            </w: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0F1CBCC0">
            <w:pPr>
              <w:widowControl/>
              <w:wordWrap w:val="0"/>
              <w:jc w:val="center"/>
              <w:rPr>
                <w:rFonts w:ascii="Times New Roman" w:hAnsi="Times New Roman" w:cs="Times New Roman"/>
                <w:kern w:val="0"/>
                <w:szCs w:val="21"/>
              </w:rPr>
            </w:pPr>
            <w:r>
              <w:rPr>
                <w:rFonts w:ascii="Times New Roman" w:hAnsi="Times New Roman" w:cs="Times New Roman"/>
                <w:kern w:val="0"/>
                <w:szCs w:val="21"/>
              </w:rPr>
              <w:t>8</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3B627BFD">
            <w:pPr>
              <w:widowControl/>
              <w:wordWrap w:val="0"/>
              <w:jc w:val="center"/>
              <w:rPr>
                <w:rFonts w:ascii="Times New Roman" w:hAnsi="Times New Roman" w:cs="Times New Roman"/>
                <w:kern w:val="0"/>
                <w:szCs w:val="21"/>
              </w:rPr>
            </w:pPr>
            <w:r>
              <w:rPr>
                <w:rFonts w:ascii="Times New Roman" w:hAnsi="Times New Roman" w:cs="Times New Roman"/>
                <w:kern w:val="0"/>
                <w:szCs w:val="21"/>
              </w:rPr>
              <w:t>居民健康素养水平（%）</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45BA2D11">
            <w:pPr>
              <w:widowControl/>
              <w:wordWrap w:val="0"/>
              <w:jc w:val="center"/>
              <w:rPr>
                <w:rFonts w:ascii="Times New Roman" w:hAnsi="Times New Roman" w:cs="Times New Roman"/>
                <w:kern w:val="0"/>
                <w:szCs w:val="21"/>
              </w:rPr>
            </w:pPr>
            <w:r>
              <w:rPr>
                <w:rFonts w:ascii="Times New Roman" w:hAnsi="Times New Roman" w:cs="Times New Roman"/>
                <w:kern w:val="0"/>
                <w:szCs w:val="21"/>
              </w:rPr>
              <w:t>≥30</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412F336F">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预期性</w:t>
            </w:r>
          </w:p>
        </w:tc>
      </w:tr>
      <w:tr w14:paraId="7A87F334">
        <w:tblPrEx>
          <w:tblCellMar>
            <w:top w:w="0" w:type="dxa"/>
            <w:left w:w="0" w:type="dxa"/>
            <w:bottom w:w="0" w:type="dxa"/>
            <w:right w:w="0" w:type="dxa"/>
          </w:tblCellMar>
        </w:tblPrEx>
        <w:tc>
          <w:tcPr>
            <w:tcW w:w="1290" w:type="dxa"/>
            <w:vMerge w:val="continue"/>
            <w:tcBorders>
              <w:top w:val="single" w:color="000000" w:sz="4" w:space="0"/>
              <w:left w:val="single" w:color="000000" w:sz="4" w:space="0"/>
              <w:bottom w:val="single" w:color="000000" w:sz="4" w:space="0"/>
              <w:right w:val="single" w:color="000000" w:sz="4" w:space="0"/>
            </w:tcBorders>
            <w:vAlign w:val="center"/>
          </w:tcPr>
          <w:p w14:paraId="4BAD9C31">
            <w:pPr>
              <w:widowControl/>
              <w:jc w:val="left"/>
              <w:rPr>
                <w:rFonts w:cs="宋体" w:asciiTheme="minorEastAsia" w:hAnsiTheme="minorEastAsia"/>
                <w:kern w:val="0"/>
                <w:szCs w:val="21"/>
              </w:rPr>
            </w:pP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3F9E3080">
            <w:pPr>
              <w:widowControl/>
              <w:wordWrap w:val="0"/>
              <w:jc w:val="center"/>
              <w:rPr>
                <w:rFonts w:ascii="Times New Roman" w:hAnsi="Times New Roman" w:cs="Times New Roman"/>
                <w:kern w:val="0"/>
                <w:szCs w:val="21"/>
              </w:rPr>
            </w:pPr>
            <w:r>
              <w:rPr>
                <w:rFonts w:ascii="Times New Roman" w:hAnsi="Times New Roman" w:cs="Times New Roman"/>
                <w:kern w:val="0"/>
                <w:szCs w:val="21"/>
              </w:rPr>
              <w:t>9</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67E985D6">
            <w:pPr>
              <w:widowControl/>
              <w:wordWrap w:val="0"/>
              <w:jc w:val="center"/>
              <w:rPr>
                <w:rFonts w:ascii="Times New Roman" w:hAnsi="Times New Roman" w:cs="Times New Roman"/>
                <w:kern w:val="0"/>
                <w:szCs w:val="21"/>
              </w:rPr>
            </w:pPr>
            <w:r>
              <w:rPr>
                <w:rFonts w:ascii="Times New Roman" w:hAnsi="Times New Roman" w:cs="Times New Roman"/>
                <w:kern w:val="0"/>
                <w:szCs w:val="21"/>
              </w:rPr>
              <w:t>15岁以上人群吸烟率（%）</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0C4A9BAF">
            <w:pPr>
              <w:widowControl/>
              <w:wordWrap w:val="0"/>
              <w:jc w:val="center"/>
              <w:rPr>
                <w:rFonts w:ascii="Times New Roman" w:hAnsi="Times New Roman" w:cs="Times New Roman"/>
                <w:kern w:val="0"/>
                <w:szCs w:val="21"/>
              </w:rPr>
            </w:pPr>
            <w:r>
              <w:rPr>
                <w:rFonts w:hint="eastAsia" w:ascii="Times New Roman" w:hAnsi="Times New Roman" w:cs="Times New Roman"/>
                <w:kern w:val="0"/>
                <w:szCs w:val="21"/>
              </w:rPr>
              <w:t>&lt;</w:t>
            </w:r>
            <w:r>
              <w:rPr>
                <w:rFonts w:ascii="Times New Roman" w:hAnsi="Times New Roman" w:cs="Times New Roman"/>
                <w:kern w:val="0"/>
                <w:szCs w:val="21"/>
              </w:rPr>
              <w:t>20</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1A181B66">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预期性</w:t>
            </w:r>
          </w:p>
        </w:tc>
      </w:tr>
      <w:tr w14:paraId="03611196">
        <w:tblPrEx>
          <w:tblCellMar>
            <w:top w:w="0" w:type="dxa"/>
            <w:left w:w="0" w:type="dxa"/>
            <w:bottom w:w="0" w:type="dxa"/>
            <w:right w:w="0" w:type="dxa"/>
          </w:tblCellMar>
        </w:tblPrEx>
        <w:tc>
          <w:tcPr>
            <w:tcW w:w="1290" w:type="dxa"/>
            <w:vMerge w:val="continue"/>
            <w:tcBorders>
              <w:top w:val="single" w:color="000000" w:sz="4" w:space="0"/>
              <w:left w:val="single" w:color="000000" w:sz="4" w:space="0"/>
              <w:bottom w:val="single" w:color="auto" w:sz="4" w:space="0"/>
              <w:right w:val="single" w:color="000000" w:sz="4" w:space="0"/>
            </w:tcBorders>
            <w:vAlign w:val="center"/>
          </w:tcPr>
          <w:p w14:paraId="2979605E">
            <w:pPr>
              <w:widowControl/>
              <w:jc w:val="left"/>
              <w:rPr>
                <w:rFonts w:cs="宋体" w:asciiTheme="minorEastAsia" w:hAnsiTheme="minorEastAsia"/>
                <w:kern w:val="0"/>
                <w:szCs w:val="21"/>
              </w:rPr>
            </w:pP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7F2F0CD4">
            <w:pPr>
              <w:widowControl/>
              <w:wordWrap w:val="0"/>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10</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199C1F42">
            <w:pPr>
              <w:widowControl/>
              <w:wordWrap w:val="0"/>
              <w:jc w:val="center"/>
              <w:rPr>
                <w:rFonts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居民规范化电子健康档案覆盖率（%）</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2A8564B2">
            <w:pPr>
              <w:widowControl/>
              <w:wordWrap w:val="0"/>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≥70%</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0382CFAF">
            <w:pPr>
              <w:widowControl/>
              <w:wordWrap w:val="0"/>
              <w:jc w:val="center"/>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预期性</w:t>
            </w:r>
          </w:p>
        </w:tc>
      </w:tr>
      <w:tr w14:paraId="1992E59C">
        <w:tblPrEx>
          <w:tblCellMar>
            <w:top w:w="0" w:type="dxa"/>
            <w:left w:w="0" w:type="dxa"/>
            <w:bottom w:w="0" w:type="dxa"/>
            <w:right w:w="0" w:type="dxa"/>
          </w:tblCellMar>
        </w:tblPrEx>
        <w:tc>
          <w:tcPr>
            <w:tcW w:w="1290" w:type="dxa"/>
            <w:vMerge w:val="restart"/>
            <w:tcBorders>
              <w:top w:val="single" w:color="auto" w:sz="4" w:space="0"/>
              <w:left w:val="single" w:color="000000" w:sz="4" w:space="0"/>
              <w:right w:val="single" w:color="000000" w:sz="4" w:space="0"/>
            </w:tcBorders>
            <w:vAlign w:val="center"/>
          </w:tcPr>
          <w:p w14:paraId="08CA0B21">
            <w:pPr>
              <w:wordWrap w:val="0"/>
              <w:autoSpaceDE w:val="0"/>
              <w:autoSpaceDN w:val="0"/>
              <w:ind w:firstLine="155" w:firstLineChars="74"/>
              <w:jc w:val="center"/>
              <w:rPr>
                <w:rFonts w:cs="宋体" w:asciiTheme="minorEastAsia" w:hAnsiTheme="minorEastAsia"/>
                <w:kern w:val="0"/>
                <w:szCs w:val="21"/>
              </w:rPr>
            </w:pPr>
            <w:r>
              <w:rPr>
                <w:rFonts w:hint="eastAsia" w:cs="宋体" w:asciiTheme="minorEastAsia" w:hAnsiTheme="minorEastAsia"/>
                <w:kern w:val="0"/>
                <w:szCs w:val="21"/>
              </w:rPr>
              <w:t>健康服务</w:t>
            </w: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650B0640">
            <w:pPr>
              <w:widowControl/>
              <w:wordWrap w:val="0"/>
              <w:jc w:val="center"/>
              <w:rPr>
                <w:rFonts w:ascii="Times New Roman" w:hAnsi="Times New Roman" w:cs="Times New Roman"/>
                <w:kern w:val="0"/>
                <w:szCs w:val="21"/>
              </w:rPr>
            </w:pPr>
            <w:r>
              <w:rPr>
                <w:rFonts w:ascii="Times New Roman" w:hAnsi="Times New Roman" w:cs="Times New Roman"/>
                <w:kern w:val="0"/>
                <w:szCs w:val="21"/>
              </w:rPr>
              <w:t>11</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67AF7F01">
            <w:pPr>
              <w:widowControl/>
              <w:wordWrap w:val="0"/>
              <w:jc w:val="center"/>
              <w:rPr>
                <w:rFonts w:ascii="Times New Roman" w:hAnsi="Times New Roman" w:cs="Times New Roman"/>
                <w:kern w:val="0"/>
                <w:szCs w:val="21"/>
              </w:rPr>
            </w:pPr>
            <w:r>
              <w:rPr>
                <w:rFonts w:ascii="Times New Roman" w:hAnsi="Times New Roman" w:cs="Times New Roman"/>
                <w:kern w:val="0"/>
                <w:szCs w:val="21"/>
              </w:rPr>
              <w:t>适龄儿童免疫规划疫苗接种率（%）</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548C452E">
            <w:pPr>
              <w:widowControl/>
              <w:wordWrap w:val="0"/>
              <w:jc w:val="center"/>
              <w:rPr>
                <w:rFonts w:ascii="Times New Roman" w:hAnsi="Times New Roman" w:cs="Times New Roman"/>
                <w:kern w:val="0"/>
                <w:szCs w:val="21"/>
              </w:rPr>
            </w:pPr>
            <w:r>
              <w:rPr>
                <w:rFonts w:ascii="Times New Roman" w:hAnsi="Times New Roman" w:cs="Times New Roman"/>
                <w:kern w:val="0"/>
                <w:szCs w:val="21"/>
              </w:rPr>
              <w:t>≥9</w:t>
            </w:r>
            <w:r>
              <w:rPr>
                <w:rFonts w:hint="eastAsia" w:ascii="Times New Roman" w:hAnsi="Times New Roman" w:cs="Times New Roman"/>
                <w:kern w:val="0"/>
                <w:szCs w:val="21"/>
              </w:rPr>
              <w:t>0</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1728DE5A">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约束性</w:t>
            </w:r>
          </w:p>
        </w:tc>
      </w:tr>
      <w:tr w14:paraId="4C07B55F">
        <w:tblPrEx>
          <w:tblCellMar>
            <w:top w:w="0" w:type="dxa"/>
            <w:left w:w="0" w:type="dxa"/>
            <w:bottom w:w="0" w:type="dxa"/>
            <w:right w:w="0" w:type="dxa"/>
          </w:tblCellMar>
        </w:tblPrEx>
        <w:tc>
          <w:tcPr>
            <w:tcW w:w="1290" w:type="dxa"/>
            <w:vMerge w:val="continue"/>
            <w:tcBorders>
              <w:left w:val="single" w:color="000000" w:sz="4" w:space="0"/>
              <w:right w:val="single" w:color="000000" w:sz="4" w:space="0"/>
            </w:tcBorders>
            <w:vAlign w:val="center"/>
          </w:tcPr>
          <w:p w14:paraId="20DB7E0A">
            <w:pPr>
              <w:wordWrap w:val="0"/>
              <w:autoSpaceDE w:val="0"/>
              <w:autoSpaceDN w:val="0"/>
              <w:ind w:firstLine="420" w:firstLineChars="200"/>
              <w:jc w:val="center"/>
              <w:rPr>
                <w:rFonts w:cs="宋体" w:asciiTheme="minorEastAsia" w:hAnsiTheme="minorEastAsia"/>
                <w:kern w:val="0"/>
                <w:szCs w:val="21"/>
              </w:rPr>
            </w:pP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41022B35">
            <w:pPr>
              <w:widowControl/>
              <w:wordWrap w:val="0"/>
              <w:jc w:val="center"/>
              <w:rPr>
                <w:rFonts w:ascii="Times New Roman" w:hAnsi="Times New Roman" w:cs="Times New Roman"/>
                <w:kern w:val="0"/>
                <w:szCs w:val="21"/>
              </w:rPr>
            </w:pPr>
            <w:r>
              <w:rPr>
                <w:rFonts w:ascii="Times New Roman" w:hAnsi="Times New Roman" w:cs="Times New Roman"/>
                <w:kern w:val="0"/>
                <w:szCs w:val="21"/>
              </w:rPr>
              <w:t>12</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39C2D612">
            <w:pPr>
              <w:widowControl/>
              <w:wordWrap w:val="0"/>
              <w:jc w:val="center"/>
              <w:rPr>
                <w:rFonts w:ascii="Times New Roman" w:hAnsi="Times New Roman" w:cs="Times New Roman"/>
                <w:kern w:val="0"/>
                <w:szCs w:val="21"/>
              </w:rPr>
            </w:pPr>
            <w:r>
              <w:rPr>
                <w:rFonts w:ascii="Times New Roman" w:hAnsi="Times New Roman" w:cs="Times New Roman"/>
                <w:kern w:val="0"/>
                <w:szCs w:val="21"/>
              </w:rPr>
              <w:t>高血压</w:t>
            </w:r>
            <w:r>
              <w:rPr>
                <w:rFonts w:hint="eastAsia" w:ascii="Times New Roman" w:hAnsi="Times New Roman" w:cs="Times New Roman"/>
                <w:kern w:val="0"/>
                <w:szCs w:val="21"/>
              </w:rPr>
              <w:t>、</w:t>
            </w:r>
            <w:r>
              <w:rPr>
                <w:rFonts w:ascii="Times New Roman" w:hAnsi="Times New Roman" w:cs="Times New Roman"/>
                <w:kern w:val="0"/>
                <w:szCs w:val="21"/>
              </w:rPr>
              <w:t>糖尿病规范管理率（%）</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6BF6A137">
            <w:pPr>
              <w:widowControl/>
              <w:wordWrap w:val="0"/>
              <w:jc w:val="center"/>
              <w:rPr>
                <w:rFonts w:ascii="Times New Roman" w:hAnsi="Times New Roman" w:cs="Times New Roman"/>
                <w:kern w:val="0"/>
                <w:szCs w:val="21"/>
              </w:rPr>
            </w:pPr>
            <w:r>
              <w:rPr>
                <w:rFonts w:ascii="Times New Roman" w:hAnsi="Times New Roman" w:cs="Times New Roman"/>
                <w:kern w:val="0"/>
                <w:szCs w:val="21"/>
              </w:rPr>
              <w:t>≥</w:t>
            </w:r>
            <w:r>
              <w:rPr>
                <w:rFonts w:hint="eastAsia" w:ascii="Times New Roman" w:hAnsi="Times New Roman" w:cs="Times New Roman"/>
                <w:kern w:val="0"/>
                <w:szCs w:val="21"/>
              </w:rPr>
              <w:t>70</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5D1C086F">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预期性</w:t>
            </w:r>
          </w:p>
        </w:tc>
      </w:tr>
      <w:tr w14:paraId="1471504F">
        <w:tblPrEx>
          <w:tblCellMar>
            <w:top w:w="0" w:type="dxa"/>
            <w:left w:w="0" w:type="dxa"/>
            <w:bottom w:w="0" w:type="dxa"/>
            <w:right w:w="0" w:type="dxa"/>
          </w:tblCellMar>
        </w:tblPrEx>
        <w:tc>
          <w:tcPr>
            <w:tcW w:w="1290" w:type="dxa"/>
            <w:vMerge w:val="continue"/>
            <w:tcBorders>
              <w:left w:val="single" w:color="000000" w:sz="4" w:space="0"/>
              <w:right w:val="single" w:color="000000" w:sz="4" w:space="0"/>
            </w:tcBorders>
            <w:vAlign w:val="center"/>
          </w:tcPr>
          <w:p w14:paraId="5423DA49">
            <w:pPr>
              <w:wordWrap w:val="0"/>
              <w:autoSpaceDE w:val="0"/>
              <w:autoSpaceDN w:val="0"/>
              <w:ind w:firstLine="420" w:firstLineChars="200"/>
              <w:jc w:val="center"/>
              <w:rPr>
                <w:rFonts w:cs="宋体" w:asciiTheme="minorEastAsia" w:hAnsiTheme="minorEastAsia"/>
                <w:kern w:val="0"/>
                <w:szCs w:val="21"/>
              </w:rPr>
            </w:pP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1B02D9CC">
            <w:pPr>
              <w:widowControl/>
              <w:wordWrap w:val="0"/>
              <w:jc w:val="center"/>
              <w:rPr>
                <w:rFonts w:ascii="Times New Roman" w:hAnsi="Times New Roman" w:cs="Times New Roman"/>
                <w:kern w:val="0"/>
                <w:szCs w:val="21"/>
              </w:rPr>
            </w:pPr>
            <w:r>
              <w:rPr>
                <w:rFonts w:ascii="Times New Roman" w:hAnsi="Times New Roman" w:cs="Times New Roman"/>
                <w:kern w:val="0"/>
                <w:szCs w:val="21"/>
              </w:rPr>
              <w:t>1</w:t>
            </w:r>
            <w:r>
              <w:rPr>
                <w:rFonts w:hint="eastAsia" w:ascii="Times New Roman" w:hAnsi="Times New Roman" w:cs="Times New Roman"/>
                <w:kern w:val="0"/>
                <w:szCs w:val="21"/>
              </w:rPr>
              <w:t>3</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5447D298">
            <w:pPr>
              <w:widowControl/>
              <w:wordWrap w:val="0"/>
              <w:jc w:val="center"/>
              <w:rPr>
                <w:rFonts w:ascii="Times New Roman" w:hAnsi="Times New Roman" w:cs="Times New Roman"/>
                <w:kern w:val="0"/>
                <w:szCs w:val="21"/>
              </w:rPr>
            </w:pPr>
            <w:r>
              <w:rPr>
                <w:rFonts w:ascii="Times New Roman" w:hAnsi="Times New Roman" w:cs="Times New Roman"/>
                <w:kern w:val="0"/>
                <w:szCs w:val="21"/>
              </w:rPr>
              <w:t>严重精神障碍患者规范管理率（%）</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2939F566">
            <w:pPr>
              <w:widowControl/>
              <w:wordWrap w:val="0"/>
              <w:jc w:val="center"/>
              <w:rPr>
                <w:rFonts w:ascii="Times New Roman" w:hAnsi="Times New Roman" w:cs="Times New Roman"/>
                <w:color w:val="FF0000"/>
                <w:kern w:val="0"/>
                <w:szCs w:val="21"/>
              </w:rPr>
            </w:pPr>
            <w:r>
              <w:rPr>
                <w:rFonts w:ascii="Times New Roman" w:hAnsi="Times New Roman" w:cs="Times New Roman"/>
                <w:kern w:val="0"/>
                <w:szCs w:val="21"/>
              </w:rPr>
              <w:t>≥9</w:t>
            </w:r>
            <w:r>
              <w:rPr>
                <w:rFonts w:hint="eastAsia" w:ascii="Times New Roman" w:hAnsi="Times New Roman" w:cs="Times New Roman"/>
                <w:kern w:val="0"/>
                <w:szCs w:val="21"/>
              </w:rPr>
              <w:t>0</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237098B5">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预期性</w:t>
            </w:r>
          </w:p>
        </w:tc>
      </w:tr>
      <w:tr w14:paraId="20441574">
        <w:tblPrEx>
          <w:tblCellMar>
            <w:top w:w="0" w:type="dxa"/>
            <w:left w:w="0" w:type="dxa"/>
            <w:bottom w:w="0" w:type="dxa"/>
            <w:right w:w="0" w:type="dxa"/>
          </w:tblCellMar>
        </w:tblPrEx>
        <w:tc>
          <w:tcPr>
            <w:tcW w:w="1290" w:type="dxa"/>
            <w:vMerge w:val="continue"/>
            <w:tcBorders>
              <w:left w:val="single" w:color="000000" w:sz="4" w:space="0"/>
              <w:right w:val="single" w:color="000000" w:sz="4" w:space="0"/>
            </w:tcBorders>
            <w:vAlign w:val="center"/>
          </w:tcPr>
          <w:p w14:paraId="0AB1A302">
            <w:pPr>
              <w:wordWrap w:val="0"/>
              <w:autoSpaceDE w:val="0"/>
              <w:autoSpaceDN w:val="0"/>
              <w:ind w:firstLine="420" w:firstLineChars="200"/>
              <w:jc w:val="center"/>
              <w:rPr>
                <w:rFonts w:cs="宋体" w:asciiTheme="minorEastAsia" w:hAnsiTheme="minorEastAsia"/>
                <w:kern w:val="0"/>
                <w:szCs w:val="21"/>
              </w:rPr>
            </w:pP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5924B85F">
            <w:pPr>
              <w:widowControl/>
              <w:wordWrap w:val="0"/>
              <w:jc w:val="center"/>
              <w:rPr>
                <w:rFonts w:ascii="Times New Roman" w:hAnsi="Times New Roman" w:cs="Times New Roman"/>
                <w:kern w:val="0"/>
                <w:szCs w:val="21"/>
              </w:rPr>
            </w:pPr>
            <w:r>
              <w:rPr>
                <w:rFonts w:ascii="Times New Roman" w:hAnsi="Times New Roman" w:cs="Times New Roman"/>
                <w:kern w:val="0"/>
                <w:szCs w:val="21"/>
              </w:rPr>
              <w:t>1</w:t>
            </w:r>
            <w:r>
              <w:rPr>
                <w:rFonts w:hint="eastAsia" w:ascii="Times New Roman" w:hAnsi="Times New Roman" w:cs="Times New Roman"/>
                <w:kern w:val="0"/>
                <w:szCs w:val="21"/>
              </w:rPr>
              <w:t>4</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15DB0DBB">
            <w:pPr>
              <w:widowControl/>
              <w:wordWrap w:val="0"/>
              <w:jc w:val="center"/>
              <w:rPr>
                <w:rFonts w:ascii="Times New Roman" w:hAnsi="Times New Roman" w:cs="Times New Roman"/>
                <w:kern w:val="0"/>
                <w:szCs w:val="21"/>
              </w:rPr>
            </w:pPr>
            <w:r>
              <w:rPr>
                <w:rFonts w:ascii="Times New Roman" w:hAnsi="Times New Roman" w:cs="Times New Roman"/>
                <w:kern w:val="0"/>
                <w:szCs w:val="21"/>
              </w:rPr>
              <w:t>经常参加体育锻炼人数比例（%）</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5A0A2AB9">
            <w:pPr>
              <w:widowControl/>
              <w:wordWrap w:val="0"/>
              <w:jc w:val="center"/>
              <w:rPr>
                <w:rFonts w:ascii="Times New Roman" w:hAnsi="Times New Roman" w:cs="Times New Roman"/>
                <w:kern w:val="0"/>
                <w:szCs w:val="21"/>
              </w:rPr>
            </w:pPr>
            <w:r>
              <w:rPr>
                <w:rFonts w:ascii="Times New Roman" w:hAnsi="Times New Roman" w:cs="Times New Roman"/>
                <w:kern w:val="0"/>
                <w:szCs w:val="21"/>
              </w:rPr>
              <w:t>≥40</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73C4D8B9">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预期性</w:t>
            </w:r>
          </w:p>
        </w:tc>
      </w:tr>
      <w:tr w14:paraId="58AE5AA4">
        <w:tblPrEx>
          <w:tblCellMar>
            <w:top w:w="0" w:type="dxa"/>
            <w:left w:w="0" w:type="dxa"/>
            <w:bottom w:w="0" w:type="dxa"/>
            <w:right w:w="0" w:type="dxa"/>
          </w:tblCellMar>
        </w:tblPrEx>
        <w:tc>
          <w:tcPr>
            <w:tcW w:w="1290" w:type="dxa"/>
            <w:vMerge w:val="continue"/>
            <w:tcBorders>
              <w:left w:val="single" w:color="000000" w:sz="4" w:space="0"/>
              <w:right w:val="single" w:color="000000" w:sz="4" w:space="0"/>
            </w:tcBorders>
            <w:vAlign w:val="center"/>
          </w:tcPr>
          <w:p w14:paraId="16C63D56">
            <w:pPr>
              <w:wordWrap w:val="0"/>
              <w:autoSpaceDE w:val="0"/>
              <w:autoSpaceDN w:val="0"/>
              <w:ind w:firstLine="420" w:firstLineChars="200"/>
              <w:jc w:val="center"/>
              <w:rPr>
                <w:rFonts w:cs="宋体" w:asciiTheme="minorEastAsia" w:hAnsiTheme="minorEastAsia"/>
                <w:kern w:val="0"/>
                <w:szCs w:val="21"/>
              </w:rPr>
            </w:pP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2BC5095E">
            <w:pPr>
              <w:widowControl/>
              <w:wordWrap w:val="0"/>
              <w:jc w:val="center"/>
              <w:rPr>
                <w:rFonts w:ascii="Times New Roman" w:hAnsi="Times New Roman" w:cs="Times New Roman"/>
                <w:kern w:val="0"/>
                <w:szCs w:val="21"/>
              </w:rPr>
            </w:pPr>
            <w:r>
              <w:rPr>
                <w:rFonts w:ascii="Times New Roman" w:hAnsi="Times New Roman" w:cs="Times New Roman"/>
                <w:kern w:val="0"/>
                <w:szCs w:val="21"/>
              </w:rPr>
              <w:t>1</w:t>
            </w:r>
            <w:r>
              <w:rPr>
                <w:rFonts w:hint="eastAsia" w:ascii="Times New Roman" w:hAnsi="Times New Roman" w:cs="Times New Roman"/>
                <w:kern w:val="0"/>
                <w:szCs w:val="21"/>
              </w:rPr>
              <w:t>5</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2F321483">
            <w:pPr>
              <w:widowControl/>
              <w:jc w:val="center"/>
              <w:rPr>
                <w:rFonts w:ascii="Times New Roman" w:hAnsi="Times New Roman" w:cs="Times New Roman"/>
                <w:kern w:val="0"/>
                <w:szCs w:val="21"/>
              </w:rPr>
            </w:pPr>
            <w:r>
              <w:rPr>
                <w:rFonts w:ascii="Times New Roman" w:hAnsi="Times New Roman" w:cs="Times New Roman"/>
                <w:kern w:val="0"/>
                <w:szCs w:val="21"/>
              </w:rPr>
              <w:t>65岁及以上老年人健康管理服务率（%）</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1E50A89D">
            <w:pPr>
              <w:widowControl/>
              <w:wordWrap w:val="0"/>
              <w:jc w:val="center"/>
              <w:rPr>
                <w:rFonts w:ascii="Times New Roman" w:hAnsi="Times New Roman" w:cs="Times New Roman"/>
                <w:kern w:val="0"/>
                <w:szCs w:val="21"/>
              </w:rPr>
            </w:pPr>
            <w:r>
              <w:rPr>
                <w:rFonts w:ascii="Times New Roman" w:hAnsi="Times New Roman" w:cs="Times New Roman"/>
                <w:kern w:val="0"/>
                <w:szCs w:val="21"/>
              </w:rPr>
              <w:t>≥85</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295E2207">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预期性</w:t>
            </w:r>
          </w:p>
        </w:tc>
      </w:tr>
      <w:tr w14:paraId="4976BE8F">
        <w:tblPrEx>
          <w:tblCellMar>
            <w:top w:w="0" w:type="dxa"/>
            <w:left w:w="0" w:type="dxa"/>
            <w:bottom w:w="0" w:type="dxa"/>
            <w:right w:w="0" w:type="dxa"/>
          </w:tblCellMar>
        </w:tblPrEx>
        <w:tc>
          <w:tcPr>
            <w:tcW w:w="1290" w:type="dxa"/>
            <w:vMerge w:val="continue"/>
            <w:tcBorders>
              <w:left w:val="single" w:color="000000" w:sz="4" w:space="0"/>
              <w:right w:val="single" w:color="000000" w:sz="4" w:space="0"/>
            </w:tcBorders>
            <w:vAlign w:val="center"/>
          </w:tcPr>
          <w:p w14:paraId="1E21E486">
            <w:pPr>
              <w:wordWrap w:val="0"/>
              <w:autoSpaceDE w:val="0"/>
              <w:autoSpaceDN w:val="0"/>
              <w:ind w:firstLine="420" w:firstLineChars="200"/>
              <w:jc w:val="center"/>
              <w:rPr>
                <w:rFonts w:cs="宋体" w:asciiTheme="minorEastAsia" w:hAnsiTheme="minorEastAsia"/>
                <w:kern w:val="0"/>
                <w:szCs w:val="21"/>
              </w:rPr>
            </w:pP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62CC8370">
            <w:pPr>
              <w:widowControl/>
              <w:wordWrap w:val="0"/>
              <w:jc w:val="center"/>
              <w:rPr>
                <w:rFonts w:ascii="Times New Roman" w:hAnsi="Times New Roman" w:cs="Times New Roman"/>
                <w:kern w:val="0"/>
                <w:szCs w:val="21"/>
              </w:rPr>
            </w:pPr>
            <w:r>
              <w:rPr>
                <w:rFonts w:ascii="Times New Roman" w:hAnsi="Times New Roman" w:cs="Times New Roman"/>
                <w:kern w:val="0"/>
                <w:szCs w:val="21"/>
              </w:rPr>
              <w:t>1</w:t>
            </w:r>
            <w:r>
              <w:rPr>
                <w:rFonts w:hint="eastAsia" w:ascii="Times New Roman" w:hAnsi="Times New Roman" w:cs="Times New Roman"/>
                <w:kern w:val="0"/>
                <w:szCs w:val="21"/>
              </w:rPr>
              <w:t>6</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tcPr>
          <w:p w14:paraId="6E593A8B">
            <w:pPr>
              <w:widowControl/>
              <w:wordWrap w:val="0"/>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每千常住人口床位数（张）</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tcPr>
          <w:p w14:paraId="76176406">
            <w:pPr>
              <w:widowControl/>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≥5.75</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tcPr>
          <w:p w14:paraId="6714C6C5">
            <w:pPr>
              <w:widowControl/>
              <w:jc w:val="center"/>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预期性</w:t>
            </w:r>
          </w:p>
        </w:tc>
      </w:tr>
      <w:tr w14:paraId="4C07B164">
        <w:tblPrEx>
          <w:tblCellMar>
            <w:top w:w="0" w:type="dxa"/>
            <w:left w:w="0" w:type="dxa"/>
            <w:bottom w:w="0" w:type="dxa"/>
            <w:right w:w="0" w:type="dxa"/>
          </w:tblCellMar>
        </w:tblPrEx>
        <w:tc>
          <w:tcPr>
            <w:tcW w:w="1290" w:type="dxa"/>
            <w:vMerge w:val="continue"/>
            <w:tcBorders>
              <w:left w:val="single" w:color="000000" w:sz="4" w:space="0"/>
              <w:right w:val="single" w:color="000000" w:sz="4" w:space="0"/>
            </w:tcBorders>
            <w:vAlign w:val="center"/>
          </w:tcPr>
          <w:p w14:paraId="145A6E6D">
            <w:pPr>
              <w:wordWrap w:val="0"/>
              <w:autoSpaceDE w:val="0"/>
              <w:autoSpaceDN w:val="0"/>
              <w:ind w:firstLine="420" w:firstLineChars="200"/>
              <w:jc w:val="center"/>
              <w:rPr>
                <w:rFonts w:cs="宋体" w:asciiTheme="minorEastAsia" w:hAnsiTheme="minorEastAsia"/>
                <w:kern w:val="0"/>
                <w:szCs w:val="21"/>
              </w:rPr>
            </w:pP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52A47707">
            <w:pPr>
              <w:widowControl/>
              <w:wordWrap w:val="0"/>
              <w:jc w:val="center"/>
              <w:rPr>
                <w:rFonts w:ascii="Times New Roman" w:hAnsi="Times New Roman" w:cs="Times New Roman"/>
                <w:kern w:val="0"/>
                <w:szCs w:val="21"/>
              </w:rPr>
            </w:pPr>
            <w:r>
              <w:rPr>
                <w:rFonts w:hint="eastAsia" w:ascii="Times New Roman" w:hAnsi="Times New Roman" w:cs="Times New Roman"/>
                <w:kern w:val="0"/>
                <w:szCs w:val="21"/>
              </w:rPr>
              <w:t>17</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206B157E">
            <w:pPr>
              <w:widowControl/>
              <w:wordWrap w:val="0"/>
              <w:jc w:val="center"/>
              <w:rPr>
                <w:rFonts w:ascii="Times New Roman" w:hAnsi="Times New Roman" w:cs="Times New Roman"/>
                <w:kern w:val="0"/>
                <w:szCs w:val="21"/>
              </w:rPr>
            </w:pPr>
            <w:r>
              <w:rPr>
                <w:rFonts w:ascii="Times New Roman" w:hAnsi="Times New Roman" w:cs="Times New Roman"/>
                <w:kern w:val="0"/>
                <w:szCs w:val="21"/>
              </w:rPr>
              <w:t>每千常住人口执业（助理）医师数（人）</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24B870E7">
            <w:pPr>
              <w:widowControl/>
              <w:wordWrap w:val="0"/>
              <w:jc w:val="center"/>
              <w:rPr>
                <w:rFonts w:ascii="Times New Roman" w:hAnsi="Times New Roman" w:cs="Times New Roman"/>
                <w:kern w:val="0"/>
                <w:szCs w:val="21"/>
              </w:rPr>
            </w:pPr>
            <w:r>
              <w:rPr>
                <w:rFonts w:ascii="Times New Roman" w:hAnsi="Times New Roman" w:cs="Times New Roman"/>
                <w:kern w:val="0"/>
                <w:szCs w:val="21"/>
              </w:rPr>
              <w:t>≥3.96</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5A3D9F52">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预期性</w:t>
            </w:r>
          </w:p>
        </w:tc>
      </w:tr>
      <w:tr w14:paraId="17F88D29">
        <w:tblPrEx>
          <w:tblCellMar>
            <w:top w:w="0" w:type="dxa"/>
            <w:left w:w="0" w:type="dxa"/>
            <w:bottom w:w="0" w:type="dxa"/>
            <w:right w:w="0" w:type="dxa"/>
          </w:tblCellMar>
        </w:tblPrEx>
        <w:tc>
          <w:tcPr>
            <w:tcW w:w="1290" w:type="dxa"/>
            <w:vMerge w:val="continue"/>
            <w:tcBorders>
              <w:left w:val="single" w:color="000000" w:sz="4" w:space="0"/>
              <w:right w:val="single" w:color="000000" w:sz="4" w:space="0"/>
            </w:tcBorders>
            <w:vAlign w:val="center"/>
          </w:tcPr>
          <w:p w14:paraId="5149E7D2">
            <w:pPr>
              <w:wordWrap w:val="0"/>
              <w:autoSpaceDE w:val="0"/>
              <w:autoSpaceDN w:val="0"/>
              <w:ind w:firstLine="420" w:firstLineChars="200"/>
              <w:jc w:val="center"/>
              <w:rPr>
                <w:rFonts w:cs="宋体" w:asciiTheme="minorEastAsia" w:hAnsiTheme="minorEastAsia"/>
                <w:kern w:val="0"/>
                <w:szCs w:val="21"/>
              </w:rPr>
            </w:pP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69C16F20">
            <w:pPr>
              <w:widowControl/>
              <w:wordWrap w:val="0"/>
              <w:jc w:val="center"/>
              <w:rPr>
                <w:rFonts w:ascii="Times New Roman" w:hAnsi="Times New Roman" w:cs="Times New Roman"/>
                <w:kern w:val="0"/>
                <w:szCs w:val="21"/>
              </w:rPr>
            </w:pPr>
            <w:r>
              <w:rPr>
                <w:rFonts w:hint="eastAsia" w:ascii="Times New Roman" w:hAnsi="Times New Roman" w:cs="Times New Roman"/>
                <w:kern w:val="0"/>
                <w:szCs w:val="21"/>
              </w:rPr>
              <w:t>18</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73200E0D">
            <w:pPr>
              <w:widowControl/>
              <w:wordWrap w:val="0"/>
              <w:jc w:val="center"/>
              <w:rPr>
                <w:rFonts w:ascii="Times New Roman" w:hAnsi="Times New Roman" w:cs="Times New Roman"/>
                <w:kern w:val="0"/>
                <w:szCs w:val="21"/>
              </w:rPr>
            </w:pPr>
            <w:r>
              <w:rPr>
                <w:rFonts w:ascii="Times New Roman" w:hAnsi="Times New Roman" w:cs="Times New Roman"/>
                <w:kern w:val="0"/>
                <w:szCs w:val="21"/>
              </w:rPr>
              <w:t>每千常住人口注册护士数（人）</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368FEC44">
            <w:pPr>
              <w:widowControl/>
              <w:wordWrap w:val="0"/>
              <w:jc w:val="center"/>
              <w:rPr>
                <w:rFonts w:ascii="Times New Roman" w:hAnsi="Times New Roman" w:cs="Times New Roman"/>
                <w:kern w:val="0"/>
                <w:szCs w:val="21"/>
              </w:rPr>
            </w:pPr>
            <w:r>
              <w:rPr>
                <w:rFonts w:ascii="Times New Roman" w:hAnsi="Times New Roman" w:cs="Times New Roman"/>
                <w:kern w:val="0"/>
                <w:szCs w:val="21"/>
              </w:rPr>
              <w:t>≥3.</w:t>
            </w:r>
            <w:r>
              <w:rPr>
                <w:rFonts w:hint="eastAsia" w:ascii="Times New Roman" w:hAnsi="Times New Roman" w:cs="Times New Roman"/>
                <w:kern w:val="0"/>
                <w:szCs w:val="21"/>
              </w:rPr>
              <w:t>5</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6B744E07">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预期性</w:t>
            </w:r>
          </w:p>
        </w:tc>
      </w:tr>
      <w:tr w14:paraId="76E2619A">
        <w:tblPrEx>
          <w:tblCellMar>
            <w:top w:w="0" w:type="dxa"/>
            <w:left w:w="0" w:type="dxa"/>
            <w:bottom w:w="0" w:type="dxa"/>
            <w:right w:w="0" w:type="dxa"/>
          </w:tblCellMar>
        </w:tblPrEx>
        <w:tc>
          <w:tcPr>
            <w:tcW w:w="1290" w:type="dxa"/>
            <w:vMerge w:val="continue"/>
            <w:tcBorders>
              <w:left w:val="single" w:color="000000" w:sz="4" w:space="0"/>
              <w:right w:val="single" w:color="000000" w:sz="4" w:space="0"/>
            </w:tcBorders>
            <w:vAlign w:val="center"/>
          </w:tcPr>
          <w:p w14:paraId="41C02459">
            <w:pPr>
              <w:wordWrap w:val="0"/>
              <w:autoSpaceDE w:val="0"/>
              <w:autoSpaceDN w:val="0"/>
              <w:ind w:firstLine="420" w:firstLineChars="200"/>
              <w:jc w:val="center"/>
              <w:rPr>
                <w:rFonts w:cs="宋体" w:asciiTheme="minorEastAsia" w:hAnsiTheme="minorEastAsia"/>
                <w:kern w:val="0"/>
                <w:szCs w:val="21"/>
              </w:rPr>
            </w:pP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05B01335">
            <w:pPr>
              <w:widowControl/>
              <w:wordWrap w:val="0"/>
              <w:jc w:val="center"/>
              <w:rPr>
                <w:rFonts w:ascii="Times New Roman" w:hAnsi="Times New Roman" w:cs="Times New Roman"/>
                <w:kern w:val="0"/>
                <w:szCs w:val="21"/>
              </w:rPr>
            </w:pPr>
            <w:r>
              <w:rPr>
                <w:rFonts w:hint="eastAsia" w:ascii="Times New Roman" w:hAnsi="Times New Roman" w:cs="Times New Roman"/>
                <w:kern w:val="0"/>
                <w:szCs w:val="21"/>
              </w:rPr>
              <w:t>19</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7A0D07F5">
            <w:pPr>
              <w:widowControl/>
              <w:wordWrap w:val="0"/>
              <w:jc w:val="center"/>
              <w:rPr>
                <w:rFonts w:ascii="Times New Roman" w:hAnsi="Times New Roman" w:cs="Times New Roman"/>
                <w:kern w:val="0"/>
                <w:szCs w:val="21"/>
              </w:rPr>
            </w:pPr>
            <w:r>
              <w:rPr>
                <w:rFonts w:ascii="Times New Roman" w:hAnsi="Times New Roman" w:cs="Times New Roman"/>
                <w:kern w:val="0"/>
                <w:szCs w:val="21"/>
              </w:rPr>
              <w:t>每万常住人口全科医生数（人）</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2CFF0319">
            <w:pPr>
              <w:widowControl/>
              <w:wordWrap w:val="0"/>
              <w:jc w:val="center"/>
              <w:rPr>
                <w:rFonts w:ascii="Times New Roman" w:hAnsi="Times New Roman" w:cs="Times New Roman"/>
                <w:kern w:val="0"/>
                <w:szCs w:val="21"/>
              </w:rPr>
            </w:pPr>
            <w:r>
              <w:rPr>
                <w:rFonts w:ascii="Times New Roman" w:hAnsi="Times New Roman" w:cs="Times New Roman"/>
                <w:kern w:val="0"/>
                <w:szCs w:val="21"/>
              </w:rPr>
              <w:t>≥</w:t>
            </w:r>
            <w:r>
              <w:rPr>
                <w:rFonts w:hint="eastAsia" w:ascii="Times New Roman" w:hAnsi="Times New Roman" w:cs="Times New Roman"/>
                <w:kern w:val="0"/>
                <w:szCs w:val="21"/>
              </w:rPr>
              <w:t>3.5</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56012D89">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预期性</w:t>
            </w:r>
          </w:p>
        </w:tc>
      </w:tr>
      <w:tr w14:paraId="0B12AAB5">
        <w:tblPrEx>
          <w:tblCellMar>
            <w:top w:w="0" w:type="dxa"/>
            <w:left w:w="0" w:type="dxa"/>
            <w:bottom w:w="0" w:type="dxa"/>
            <w:right w:w="0" w:type="dxa"/>
          </w:tblCellMar>
        </w:tblPrEx>
        <w:tc>
          <w:tcPr>
            <w:tcW w:w="1290" w:type="dxa"/>
            <w:vMerge w:val="continue"/>
            <w:tcBorders>
              <w:left w:val="single" w:color="000000" w:sz="4" w:space="0"/>
              <w:right w:val="single" w:color="000000" w:sz="4" w:space="0"/>
            </w:tcBorders>
            <w:vAlign w:val="center"/>
          </w:tcPr>
          <w:p w14:paraId="292DD6DC">
            <w:pPr>
              <w:wordWrap w:val="0"/>
              <w:autoSpaceDE w:val="0"/>
              <w:autoSpaceDN w:val="0"/>
              <w:ind w:firstLine="420" w:firstLineChars="200"/>
              <w:jc w:val="center"/>
              <w:rPr>
                <w:rFonts w:cs="宋体" w:asciiTheme="minorEastAsia" w:hAnsiTheme="minorEastAsia"/>
                <w:kern w:val="0"/>
                <w:szCs w:val="21"/>
              </w:rPr>
            </w:pP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5494BE75">
            <w:pPr>
              <w:widowControl/>
              <w:wordWrap w:val="0"/>
              <w:jc w:val="center"/>
              <w:rPr>
                <w:rFonts w:ascii="Times New Roman" w:hAnsi="Times New Roman" w:cs="Times New Roman"/>
                <w:kern w:val="0"/>
                <w:szCs w:val="21"/>
              </w:rPr>
            </w:pPr>
            <w:r>
              <w:rPr>
                <w:rFonts w:ascii="Times New Roman" w:hAnsi="Times New Roman" w:cs="Times New Roman"/>
                <w:kern w:val="0"/>
                <w:szCs w:val="21"/>
              </w:rPr>
              <w:t>2</w:t>
            </w:r>
            <w:r>
              <w:rPr>
                <w:rFonts w:hint="eastAsia" w:ascii="Times New Roman" w:hAnsi="Times New Roman" w:cs="Times New Roman"/>
                <w:kern w:val="0"/>
                <w:szCs w:val="21"/>
              </w:rPr>
              <w:t>0</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221D8D4E">
            <w:pPr>
              <w:widowControl/>
              <w:wordWrap w:val="0"/>
              <w:jc w:val="center"/>
              <w:rPr>
                <w:rFonts w:ascii="Times New Roman" w:hAnsi="Times New Roman" w:cs="Times New Roman"/>
                <w:kern w:val="0"/>
                <w:szCs w:val="21"/>
              </w:rPr>
            </w:pPr>
            <w:r>
              <w:rPr>
                <w:rFonts w:hint="eastAsia" w:ascii="Times New Roman" w:hAnsi="Times New Roman" w:cs="Times New Roman"/>
                <w:kern w:val="0"/>
                <w:szCs w:val="21"/>
              </w:rPr>
              <w:t>孕产妇和3岁以下儿童系统管理率（%）</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51777C62">
            <w:pPr>
              <w:widowControl/>
              <w:wordWrap w:val="0"/>
              <w:jc w:val="center"/>
              <w:rPr>
                <w:rFonts w:ascii="Times New Roman" w:hAnsi="Times New Roman" w:cs="Times New Roman"/>
                <w:kern w:val="0"/>
                <w:szCs w:val="21"/>
              </w:rPr>
            </w:pPr>
            <w:r>
              <w:rPr>
                <w:rFonts w:ascii="Times New Roman" w:hAnsi="Times New Roman" w:cs="Times New Roman"/>
                <w:kern w:val="0"/>
                <w:szCs w:val="21"/>
              </w:rPr>
              <w:t>≥</w:t>
            </w:r>
            <w:r>
              <w:rPr>
                <w:rFonts w:hint="eastAsia" w:ascii="Times New Roman" w:hAnsi="Times New Roman" w:cs="Times New Roman"/>
                <w:kern w:val="0"/>
                <w:szCs w:val="21"/>
              </w:rPr>
              <w:t>90</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1C8D3B86">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预期性</w:t>
            </w:r>
          </w:p>
        </w:tc>
      </w:tr>
      <w:tr w14:paraId="3E2F3B6E">
        <w:tc>
          <w:tcPr>
            <w:tcW w:w="1290" w:type="dxa"/>
            <w:vMerge w:val="continue"/>
            <w:tcBorders>
              <w:left w:val="single" w:color="000000" w:sz="4" w:space="0"/>
              <w:right w:val="single" w:color="000000" w:sz="4" w:space="0"/>
            </w:tcBorders>
            <w:vAlign w:val="center"/>
          </w:tcPr>
          <w:p w14:paraId="0CDB5129">
            <w:pPr>
              <w:wordWrap w:val="0"/>
              <w:autoSpaceDE w:val="0"/>
              <w:autoSpaceDN w:val="0"/>
              <w:ind w:firstLine="420" w:firstLineChars="200"/>
              <w:jc w:val="center"/>
              <w:rPr>
                <w:rFonts w:cs="宋体" w:asciiTheme="minorEastAsia" w:hAnsiTheme="minorEastAsia"/>
                <w:kern w:val="0"/>
                <w:szCs w:val="21"/>
              </w:rPr>
            </w:pP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5E5B2D51">
            <w:pPr>
              <w:widowControl/>
              <w:wordWrap w:val="0"/>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w:t>
            </w:r>
            <w:r>
              <w:rPr>
                <w:rFonts w:hint="eastAsia" w:ascii="Times New Roman" w:hAnsi="Times New Roman" w:cs="Times New Roman"/>
                <w:color w:val="000000" w:themeColor="text1"/>
                <w:kern w:val="0"/>
                <w:szCs w:val="21"/>
                <w14:textFill>
                  <w14:solidFill>
                    <w14:schemeClr w14:val="tx1"/>
                  </w14:solidFill>
                </w14:textFill>
              </w:rPr>
              <w:t>1</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0F84AF89">
            <w:pPr>
              <w:widowControl/>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藏医药</w:t>
            </w:r>
            <w:r>
              <w:rPr>
                <w:rFonts w:hint="eastAsia" w:ascii="Times New Roman" w:hAnsi="Times New Roman" w:cs="Times New Roman"/>
                <w:color w:val="000000" w:themeColor="text1"/>
                <w:kern w:val="0"/>
                <w:szCs w:val="21"/>
                <w14:textFill>
                  <w14:solidFill>
                    <w14:schemeClr w14:val="tx1"/>
                  </w14:solidFill>
                </w14:textFill>
              </w:rPr>
              <w:t>产业总规模（亿元</w:t>
            </w:r>
            <w:r>
              <w:rPr>
                <w:rFonts w:ascii="Times New Roman" w:hAnsi="Times New Roman" w:cs="Times New Roman"/>
                <w:color w:val="000000" w:themeColor="text1"/>
                <w:kern w:val="0"/>
                <w:szCs w:val="21"/>
                <w14:textFill>
                  <w14:solidFill>
                    <w14:schemeClr w14:val="tx1"/>
                  </w14:solidFill>
                </w14:textFill>
              </w:rPr>
              <w:t>）</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51A26145">
            <w:pPr>
              <w:widowControl/>
              <w:wordWrap w:val="0"/>
              <w:jc w:val="center"/>
              <w:rPr>
                <w:rFonts w:ascii="Times New Roman" w:hAnsi="Times New Roman" w:cs="Times New Roman"/>
                <w:kern w:val="0"/>
                <w:szCs w:val="21"/>
              </w:rPr>
            </w:pPr>
            <w:r>
              <w:rPr>
                <w:rFonts w:hint="eastAsia" w:ascii="Times New Roman" w:hAnsi="Times New Roman" w:cs="Times New Roman"/>
                <w:kern w:val="0"/>
                <w:szCs w:val="21"/>
              </w:rPr>
              <w:t>10</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0633B4C0">
            <w:pPr>
              <w:widowControl/>
              <w:wordWrap w:val="0"/>
              <w:jc w:val="center"/>
              <w:rPr>
                <w:rFonts w:cs="宋体" w:asciiTheme="minorEastAsia" w:hAnsiTheme="minorEastAsia"/>
                <w:color w:val="FF0000"/>
                <w:kern w:val="0"/>
                <w:szCs w:val="21"/>
              </w:rPr>
            </w:pPr>
            <w:r>
              <w:rPr>
                <w:rFonts w:hint="eastAsia" w:cs="宋体" w:asciiTheme="minorEastAsia" w:hAnsiTheme="minorEastAsia"/>
                <w:kern w:val="0"/>
                <w:szCs w:val="21"/>
              </w:rPr>
              <w:t>预期性</w:t>
            </w:r>
          </w:p>
        </w:tc>
      </w:tr>
      <w:tr w14:paraId="4B3214E3">
        <w:tblPrEx>
          <w:tblCellMar>
            <w:top w:w="0" w:type="dxa"/>
            <w:left w:w="0" w:type="dxa"/>
            <w:bottom w:w="0" w:type="dxa"/>
            <w:right w:w="0" w:type="dxa"/>
          </w:tblCellMar>
        </w:tblPrEx>
        <w:trPr>
          <w:trHeight w:val="443" w:hRule="atLeast"/>
        </w:trPr>
        <w:tc>
          <w:tcPr>
            <w:tcW w:w="1290" w:type="dxa"/>
            <w:vMerge w:val="continue"/>
            <w:tcBorders>
              <w:left w:val="single" w:color="000000" w:sz="4" w:space="0"/>
              <w:right w:val="single" w:color="000000" w:sz="4" w:space="0"/>
            </w:tcBorders>
            <w:tcMar>
              <w:top w:w="15" w:type="dxa"/>
              <w:left w:w="15" w:type="dxa"/>
              <w:bottom w:w="75" w:type="dxa"/>
              <w:right w:w="15" w:type="dxa"/>
            </w:tcMar>
            <w:vAlign w:val="center"/>
          </w:tcPr>
          <w:p w14:paraId="730C58CA">
            <w:pPr>
              <w:widowControl/>
              <w:wordWrap w:val="0"/>
              <w:jc w:val="center"/>
              <w:rPr>
                <w:rFonts w:cs="宋体" w:asciiTheme="minorEastAsia" w:hAnsiTheme="minorEastAsia"/>
                <w:kern w:val="0"/>
                <w:szCs w:val="21"/>
              </w:rPr>
            </w:pPr>
          </w:p>
        </w:tc>
        <w:tc>
          <w:tcPr>
            <w:tcW w:w="710" w:type="dxa"/>
            <w:tcBorders>
              <w:top w:val="single" w:color="000000" w:sz="4" w:space="0"/>
              <w:left w:val="single" w:color="000000" w:sz="4" w:space="0"/>
              <w:bottom w:val="single" w:color="auto" w:sz="4" w:space="0"/>
              <w:right w:val="single" w:color="000000" w:sz="4" w:space="0"/>
            </w:tcBorders>
            <w:tcMar>
              <w:top w:w="15" w:type="dxa"/>
              <w:left w:w="15" w:type="dxa"/>
              <w:bottom w:w="75" w:type="dxa"/>
              <w:right w:w="15" w:type="dxa"/>
            </w:tcMar>
            <w:vAlign w:val="center"/>
          </w:tcPr>
          <w:p w14:paraId="70BEDADC">
            <w:pPr>
              <w:widowControl/>
              <w:wordWrap w:val="0"/>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w:t>
            </w:r>
            <w:r>
              <w:rPr>
                <w:rFonts w:hint="eastAsia" w:ascii="Times New Roman" w:hAnsi="Times New Roman" w:cs="Times New Roman"/>
                <w:color w:val="000000" w:themeColor="text1"/>
                <w:kern w:val="0"/>
                <w:szCs w:val="21"/>
                <w14:textFill>
                  <w14:solidFill>
                    <w14:schemeClr w14:val="tx1"/>
                  </w14:solidFill>
                </w14:textFill>
              </w:rPr>
              <w:t>2</w:t>
            </w:r>
          </w:p>
        </w:tc>
        <w:tc>
          <w:tcPr>
            <w:tcW w:w="3685" w:type="dxa"/>
            <w:tcBorders>
              <w:top w:val="single" w:color="000000" w:sz="4" w:space="0"/>
              <w:left w:val="single" w:color="000000" w:sz="4" w:space="0"/>
              <w:bottom w:val="single" w:color="auto" w:sz="4" w:space="0"/>
              <w:right w:val="single" w:color="000000" w:sz="4" w:space="0"/>
            </w:tcBorders>
            <w:tcMar>
              <w:top w:w="15" w:type="dxa"/>
              <w:left w:w="15" w:type="dxa"/>
              <w:bottom w:w="75" w:type="dxa"/>
              <w:right w:w="15" w:type="dxa"/>
            </w:tcMar>
            <w:vAlign w:val="center"/>
          </w:tcPr>
          <w:p w14:paraId="45CF3C8D">
            <w:pPr>
              <w:widowControl/>
              <w:wordWrap w:val="0"/>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基层医疗卫生机构首诊率（%）</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0C08FF94">
            <w:pPr>
              <w:widowControl/>
              <w:wordWrap w:val="0"/>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w:t>
            </w:r>
            <w:r>
              <w:rPr>
                <w:rFonts w:hint="eastAsia" w:ascii="Times New Roman" w:hAnsi="Times New Roman" w:cs="Times New Roman"/>
                <w:color w:val="000000" w:themeColor="text1"/>
                <w:kern w:val="0"/>
                <w:szCs w:val="21"/>
                <w14:textFill>
                  <w14:solidFill>
                    <w14:schemeClr w14:val="tx1"/>
                  </w14:solidFill>
                </w14:textFill>
              </w:rPr>
              <w:t>60</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19F6332C">
            <w:pPr>
              <w:widowControl/>
              <w:wordWrap w:val="0"/>
              <w:jc w:val="center"/>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预期性</w:t>
            </w:r>
          </w:p>
        </w:tc>
      </w:tr>
      <w:tr w14:paraId="4925F72C">
        <w:tblPrEx>
          <w:tblCellMar>
            <w:top w:w="0" w:type="dxa"/>
            <w:left w:w="0" w:type="dxa"/>
            <w:bottom w:w="0" w:type="dxa"/>
            <w:right w:w="0" w:type="dxa"/>
          </w:tblCellMar>
        </w:tblPrEx>
        <w:tc>
          <w:tcPr>
            <w:tcW w:w="1290" w:type="dxa"/>
            <w:vMerge w:val="continue"/>
            <w:tcBorders>
              <w:left w:val="single" w:color="000000" w:sz="4" w:space="0"/>
              <w:right w:val="single" w:color="000000" w:sz="4" w:space="0"/>
            </w:tcBorders>
            <w:vAlign w:val="center"/>
          </w:tcPr>
          <w:p w14:paraId="2E478049">
            <w:pPr>
              <w:widowControl/>
              <w:jc w:val="left"/>
              <w:rPr>
                <w:rFonts w:cs="宋体" w:asciiTheme="minorEastAsia" w:hAnsiTheme="minorEastAsia"/>
                <w:kern w:val="0"/>
                <w:szCs w:val="21"/>
              </w:rPr>
            </w:pP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tcPr>
          <w:p w14:paraId="39791401">
            <w:pPr>
              <w:widowControl/>
              <w:wordWrap w:val="0"/>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w:t>
            </w:r>
            <w:r>
              <w:rPr>
                <w:rFonts w:hint="eastAsia" w:ascii="Times New Roman" w:hAnsi="Times New Roman" w:cs="Times New Roman"/>
                <w:color w:val="000000" w:themeColor="text1"/>
                <w:kern w:val="0"/>
                <w:szCs w:val="21"/>
                <w14:textFill>
                  <w14:solidFill>
                    <w14:schemeClr w14:val="tx1"/>
                  </w14:solidFill>
                </w14:textFill>
              </w:rPr>
              <w:t>3</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41FD6F9E">
            <w:pPr>
              <w:widowControl/>
              <w:wordWrap w:val="0"/>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村（居）卫生室藏医药服务覆盖率</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2C144756">
            <w:pPr>
              <w:widowControl/>
              <w:wordWrap w:val="0"/>
              <w:jc w:val="center"/>
              <w:rPr>
                <w:rFonts w:ascii="Times New Roman" w:hAnsi="Times New Roman" w:cs="Times New Roman"/>
                <w:kern w:val="0"/>
                <w:szCs w:val="21"/>
              </w:rPr>
            </w:pPr>
            <w:r>
              <w:rPr>
                <w:rFonts w:ascii="Times New Roman" w:hAnsi="Times New Roman" w:cs="Times New Roman"/>
                <w:color w:val="000000" w:themeColor="text1"/>
                <w:kern w:val="0"/>
                <w:szCs w:val="21"/>
                <w14:textFill>
                  <w14:solidFill>
                    <w14:schemeClr w14:val="tx1"/>
                  </w14:solidFill>
                </w14:textFill>
              </w:rPr>
              <w:t>≥</w:t>
            </w:r>
            <w:r>
              <w:rPr>
                <w:rFonts w:hint="eastAsia" w:ascii="Times New Roman" w:hAnsi="Times New Roman" w:cs="Times New Roman"/>
                <w:color w:val="000000" w:themeColor="text1"/>
                <w:kern w:val="0"/>
                <w:szCs w:val="21"/>
                <w14:textFill>
                  <w14:solidFill>
                    <w14:schemeClr w14:val="tx1"/>
                  </w14:solidFill>
                </w14:textFill>
              </w:rPr>
              <w:t>85</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31C419E5">
            <w:pPr>
              <w:widowControl/>
              <w:wordWrap w:val="0"/>
              <w:jc w:val="center"/>
              <w:rPr>
                <w:rFonts w:cs="宋体" w:asciiTheme="minorEastAsia" w:hAnsiTheme="minorEastAsia"/>
                <w:kern w:val="0"/>
                <w:szCs w:val="21"/>
              </w:rPr>
            </w:pPr>
            <w:r>
              <w:rPr>
                <w:rFonts w:hint="eastAsia" w:cs="宋体" w:asciiTheme="minorEastAsia" w:hAnsiTheme="minorEastAsia"/>
                <w:color w:val="000000" w:themeColor="text1"/>
                <w:kern w:val="0"/>
                <w:szCs w:val="21"/>
                <w14:textFill>
                  <w14:solidFill>
                    <w14:schemeClr w14:val="tx1"/>
                  </w14:solidFill>
                </w14:textFill>
              </w:rPr>
              <w:t>预期性</w:t>
            </w:r>
          </w:p>
        </w:tc>
      </w:tr>
      <w:tr w14:paraId="191128AA">
        <w:tblPrEx>
          <w:tblCellMar>
            <w:top w:w="0" w:type="dxa"/>
            <w:left w:w="0" w:type="dxa"/>
            <w:bottom w:w="0" w:type="dxa"/>
            <w:right w:w="0" w:type="dxa"/>
          </w:tblCellMar>
        </w:tblPrEx>
        <w:tc>
          <w:tcPr>
            <w:tcW w:w="1290" w:type="dxa"/>
            <w:vMerge w:val="continue"/>
            <w:tcBorders>
              <w:left w:val="single" w:color="000000" w:sz="4" w:space="0"/>
              <w:right w:val="single" w:color="000000" w:sz="4" w:space="0"/>
            </w:tcBorders>
            <w:vAlign w:val="center"/>
          </w:tcPr>
          <w:p w14:paraId="19781640">
            <w:pPr>
              <w:widowControl/>
              <w:jc w:val="left"/>
              <w:rPr>
                <w:rFonts w:cs="宋体" w:asciiTheme="minorEastAsia" w:hAnsiTheme="minorEastAsia"/>
                <w:kern w:val="0"/>
                <w:szCs w:val="21"/>
              </w:rPr>
            </w:pP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5DE426B7">
            <w:pPr>
              <w:widowControl/>
              <w:wordWrap w:val="0"/>
              <w:jc w:val="center"/>
              <w:rPr>
                <w:rFonts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24</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22FBE22A">
            <w:pPr>
              <w:widowControl/>
              <w:wordWrap w:val="0"/>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重点癌症筛查早诊率（%）</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5F28F2FF">
            <w:pPr>
              <w:widowControl/>
              <w:wordWrap w:val="0"/>
              <w:jc w:val="center"/>
              <w:rPr>
                <w:rFonts w:ascii="Times New Roman" w:hAnsi="Times New Roman" w:cs="Times New Roman"/>
                <w:kern w:val="0"/>
                <w:szCs w:val="21"/>
              </w:rPr>
            </w:pPr>
            <w:r>
              <w:rPr>
                <w:rFonts w:ascii="Times New Roman" w:hAnsi="Times New Roman" w:cs="Times New Roman"/>
                <w:kern w:val="0"/>
                <w:szCs w:val="21"/>
              </w:rPr>
              <w:t>≥65</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53C2AE0A">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预期性</w:t>
            </w:r>
          </w:p>
        </w:tc>
      </w:tr>
      <w:tr w14:paraId="33512757">
        <w:tblPrEx>
          <w:tblCellMar>
            <w:top w:w="0" w:type="dxa"/>
            <w:left w:w="0" w:type="dxa"/>
            <w:bottom w:w="0" w:type="dxa"/>
            <w:right w:w="0" w:type="dxa"/>
          </w:tblCellMar>
        </w:tblPrEx>
        <w:tc>
          <w:tcPr>
            <w:tcW w:w="1290" w:type="dxa"/>
            <w:vMerge w:val="continue"/>
            <w:tcBorders>
              <w:left w:val="single" w:color="000000" w:sz="4" w:space="0"/>
              <w:right w:val="single" w:color="000000" w:sz="4" w:space="0"/>
            </w:tcBorders>
            <w:vAlign w:val="center"/>
          </w:tcPr>
          <w:p w14:paraId="4AD84179">
            <w:pPr>
              <w:widowControl/>
              <w:jc w:val="left"/>
              <w:rPr>
                <w:rFonts w:cs="宋体" w:asciiTheme="minorEastAsia" w:hAnsiTheme="minorEastAsia"/>
                <w:kern w:val="0"/>
                <w:szCs w:val="21"/>
              </w:rPr>
            </w:pP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24D6A6F8">
            <w:pPr>
              <w:widowControl/>
              <w:wordWrap w:val="0"/>
              <w:jc w:val="center"/>
              <w:rPr>
                <w:rFonts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25</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794A06C4">
            <w:pPr>
              <w:widowControl/>
              <w:wordWrap w:val="0"/>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艾滋病全人群感染率（%）</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7CDF784A">
            <w:pPr>
              <w:widowControl/>
              <w:wordWrap w:val="0"/>
              <w:jc w:val="center"/>
              <w:rPr>
                <w:rFonts w:ascii="Times New Roman" w:hAnsi="Times New Roman" w:cs="Times New Roman"/>
                <w:kern w:val="0"/>
                <w:szCs w:val="21"/>
              </w:rPr>
            </w:pPr>
            <w:r>
              <w:rPr>
                <w:rFonts w:ascii="Times New Roman" w:hAnsi="Times New Roman" w:cs="Times New Roman"/>
                <w:kern w:val="0"/>
                <w:szCs w:val="21"/>
              </w:rPr>
              <w:t>＜0.15</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644F427A">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预期性</w:t>
            </w:r>
          </w:p>
        </w:tc>
      </w:tr>
      <w:tr w14:paraId="4DA124A0">
        <w:tblPrEx>
          <w:tblCellMar>
            <w:top w:w="0" w:type="dxa"/>
            <w:left w:w="0" w:type="dxa"/>
            <w:bottom w:w="0" w:type="dxa"/>
            <w:right w:w="0" w:type="dxa"/>
          </w:tblCellMar>
        </w:tblPrEx>
        <w:tc>
          <w:tcPr>
            <w:tcW w:w="1290" w:type="dxa"/>
            <w:vMerge w:val="continue"/>
            <w:tcBorders>
              <w:left w:val="single" w:color="000000" w:sz="4" w:space="0"/>
              <w:right w:val="single" w:color="000000" w:sz="4" w:space="0"/>
            </w:tcBorders>
            <w:vAlign w:val="center"/>
          </w:tcPr>
          <w:p w14:paraId="5D017FB3">
            <w:pPr>
              <w:widowControl/>
              <w:jc w:val="left"/>
              <w:rPr>
                <w:rFonts w:cs="宋体" w:asciiTheme="minorEastAsia" w:hAnsiTheme="minorEastAsia"/>
                <w:kern w:val="0"/>
                <w:szCs w:val="21"/>
              </w:rPr>
            </w:pP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54DC03FD">
            <w:pPr>
              <w:widowControl/>
              <w:wordWrap w:val="0"/>
              <w:jc w:val="center"/>
              <w:rPr>
                <w:rFonts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26</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10363ADB">
            <w:pPr>
              <w:widowControl/>
              <w:wordWrap w:val="0"/>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肺结核发病率（1/10万）</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7588479A">
            <w:pPr>
              <w:widowControl/>
              <w:wordWrap w:val="0"/>
              <w:jc w:val="center"/>
              <w:rPr>
                <w:rFonts w:ascii="Times New Roman" w:hAnsi="Times New Roman" w:cs="Times New Roman"/>
                <w:kern w:val="0"/>
                <w:szCs w:val="21"/>
              </w:rPr>
            </w:pPr>
            <w:r>
              <w:rPr>
                <w:rFonts w:ascii="Times New Roman" w:hAnsi="Times New Roman" w:cs="Times New Roman"/>
                <w:kern w:val="0"/>
                <w:szCs w:val="21"/>
              </w:rPr>
              <w:t>≤75</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79155D13">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预期性</w:t>
            </w:r>
          </w:p>
        </w:tc>
      </w:tr>
      <w:tr w14:paraId="0475D2D7">
        <w:tblPrEx>
          <w:tblCellMar>
            <w:top w:w="0" w:type="dxa"/>
            <w:left w:w="0" w:type="dxa"/>
            <w:bottom w:w="0" w:type="dxa"/>
            <w:right w:w="0" w:type="dxa"/>
          </w:tblCellMar>
        </w:tblPrEx>
        <w:tc>
          <w:tcPr>
            <w:tcW w:w="1290" w:type="dxa"/>
            <w:tcBorders>
              <w:left w:val="single" w:color="000000" w:sz="4" w:space="0"/>
              <w:right w:val="single" w:color="000000" w:sz="4" w:space="0"/>
            </w:tcBorders>
            <w:vAlign w:val="center"/>
          </w:tcPr>
          <w:p w14:paraId="2C9E4E52">
            <w:pPr>
              <w:widowControl/>
              <w:jc w:val="left"/>
              <w:rPr>
                <w:rFonts w:cs="宋体" w:asciiTheme="minorEastAsia" w:hAnsiTheme="minorEastAsia"/>
                <w:kern w:val="0"/>
                <w:szCs w:val="21"/>
              </w:rPr>
            </w:pP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3D6A46F1">
            <w:pPr>
              <w:widowControl/>
              <w:wordWrap w:val="0"/>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w:t>
            </w:r>
            <w:r>
              <w:rPr>
                <w:rFonts w:hint="eastAsia" w:ascii="Times New Roman" w:hAnsi="Times New Roman" w:cs="Times New Roman"/>
                <w:color w:val="000000" w:themeColor="text1"/>
                <w:kern w:val="0"/>
                <w:szCs w:val="21"/>
                <w14:textFill>
                  <w14:solidFill>
                    <w14:schemeClr w14:val="tx1"/>
                  </w14:solidFill>
                </w14:textFill>
              </w:rPr>
              <w:t>7</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10498892">
            <w:pPr>
              <w:widowControl/>
              <w:wordWrap w:val="0"/>
              <w:jc w:val="center"/>
              <w:rPr>
                <w:rFonts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3岁以下婴幼儿入托率</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0294ECCB">
            <w:pPr>
              <w:widowControl/>
              <w:wordWrap w:val="0"/>
              <w:jc w:val="center"/>
              <w:rPr>
                <w:rFonts w:ascii="Times New Roman" w:hAnsi="Times New Roman" w:cs="Times New Roman"/>
                <w:kern w:val="0"/>
                <w:szCs w:val="21"/>
              </w:rPr>
            </w:pPr>
            <w:r>
              <w:rPr>
                <w:rFonts w:hint="eastAsia" w:ascii="Times New Roman" w:hAnsi="Times New Roman" w:cs="Times New Roman"/>
                <w:kern w:val="0"/>
                <w:szCs w:val="21"/>
              </w:rPr>
              <w:t>3.4</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43B130C0">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预期性</w:t>
            </w:r>
          </w:p>
        </w:tc>
      </w:tr>
      <w:tr w14:paraId="77565408">
        <w:tblPrEx>
          <w:tblCellMar>
            <w:top w:w="0" w:type="dxa"/>
            <w:left w:w="0" w:type="dxa"/>
            <w:bottom w:w="0" w:type="dxa"/>
            <w:right w:w="0" w:type="dxa"/>
          </w:tblCellMar>
        </w:tblPrEx>
        <w:tc>
          <w:tcPr>
            <w:tcW w:w="12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545F34AB">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健康保障</w:t>
            </w: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020A57D1">
            <w:pPr>
              <w:widowControl/>
              <w:wordWrap w:val="0"/>
              <w:jc w:val="center"/>
              <w:rPr>
                <w:rFonts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28</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2EDEB734">
            <w:pPr>
              <w:widowControl/>
              <w:jc w:val="center"/>
              <w:rPr>
                <w:rFonts w:ascii="Times New Roman" w:hAnsi="Times New Roman" w:cs="Times New Roman"/>
                <w:kern w:val="0"/>
                <w:szCs w:val="21"/>
              </w:rPr>
            </w:pPr>
            <w:r>
              <w:rPr>
                <w:rFonts w:hint="eastAsia" w:ascii="Times New Roman" w:hAnsi="Times New Roman" w:cs="Times New Roman"/>
                <w:kern w:val="0"/>
                <w:szCs w:val="21"/>
              </w:rPr>
              <w:t>年</w:t>
            </w:r>
            <w:r>
              <w:rPr>
                <w:rFonts w:ascii="Times New Roman" w:hAnsi="Times New Roman" w:cs="Times New Roman"/>
                <w:kern w:val="0"/>
                <w:szCs w:val="21"/>
              </w:rPr>
              <w:t>人均基本公共卫生服务经费（元）</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2554118B">
            <w:pPr>
              <w:widowControl/>
              <w:wordWrap w:val="0"/>
              <w:jc w:val="center"/>
              <w:rPr>
                <w:rFonts w:ascii="Times New Roman" w:hAnsi="Times New Roman" w:cs="Times New Roman"/>
                <w:kern w:val="0"/>
                <w:szCs w:val="21"/>
              </w:rPr>
            </w:pPr>
            <w:r>
              <w:rPr>
                <w:rFonts w:ascii="Times New Roman" w:hAnsi="Times New Roman" w:cs="Times New Roman"/>
                <w:kern w:val="0"/>
                <w:szCs w:val="21"/>
              </w:rPr>
              <w:t>1</w:t>
            </w:r>
            <w:r>
              <w:rPr>
                <w:rFonts w:hint="eastAsia" w:ascii="Times New Roman" w:hAnsi="Times New Roman" w:cs="Times New Roman"/>
                <w:kern w:val="0"/>
                <w:szCs w:val="21"/>
              </w:rPr>
              <w:t>45</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0362CE8F">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预期性</w:t>
            </w:r>
          </w:p>
        </w:tc>
      </w:tr>
      <w:tr w14:paraId="0AC27D55">
        <w:tblPrEx>
          <w:tblCellMar>
            <w:top w:w="0" w:type="dxa"/>
            <w:left w:w="0" w:type="dxa"/>
            <w:bottom w:w="0" w:type="dxa"/>
            <w:right w:w="0" w:type="dxa"/>
          </w:tblCellMar>
        </w:tblPrEx>
        <w:tc>
          <w:tcPr>
            <w:tcW w:w="1290" w:type="dxa"/>
            <w:vMerge w:val="continue"/>
            <w:tcBorders>
              <w:top w:val="single" w:color="000000" w:sz="4" w:space="0"/>
              <w:left w:val="single" w:color="000000" w:sz="4" w:space="0"/>
              <w:bottom w:val="single" w:color="000000" w:sz="4" w:space="0"/>
              <w:right w:val="single" w:color="000000" w:sz="4" w:space="0"/>
            </w:tcBorders>
            <w:vAlign w:val="center"/>
          </w:tcPr>
          <w:p w14:paraId="2F2DB793">
            <w:pPr>
              <w:widowControl/>
              <w:jc w:val="left"/>
              <w:rPr>
                <w:rFonts w:cs="宋体" w:asciiTheme="minorEastAsia" w:hAnsiTheme="minorEastAsia"/>
                <w:kern w:val="0"/>
                <w:szCs w:val="21"/>
              </w:rPr>
            </w:pPr>
          </w:p>
        </w:tc>
        <w:tc>
          <w:tcPr>
            <w:tcW w:w="710"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1A96E4AA">
            <w:pPr>
              <w:widowControl/>
              <w:wordWrap w:val="0"/>
              <w:jc w:val="center"/>
              <w:rPr>
                <w:rFonts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29</w:t>
            </w:r>
          </w:p>
        </w:tc>
        <w:tc>
          <w:tcPr>
            <w:tcW w:w="3685"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37741274">
            <w:pPr>
              <w:widowControl/>
              <w:wordWrap w:val="0"/>
              <w:jc w:val="center"/>
              <w:rPr>
                <w:rFonts w:ascii="Times New Roman" w:hAnsi="Times New Roman" w:cs="Times New Roman"/>
                <w:kern w:val="0"/>
                <w:szCs w:val="21"/>
              </w:rPr>
            </w:pPr>
            <w:r>
              <w:rPr>
                <w:rFonts w:ascii="Times New Roman" w:hAnsi="Times New Roman" w:cs="Times New Roman"/>
                <w:kern w:val="0"/>
                <w:szCs w:val="21"/>
              </w:rPr>
              <w:t>个人卫生支出占卫生总费用比例（%）</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1996EA72">
            <w:pPr>
              <w:widowControl/>
              <w:wordWrap w:val="0"/>
              <w:jc w:val="center"/>
              <w:rPr>
                <w:rFonts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color w:val="000000" w:themeColor="text1"/>
                <w:kern w:val="0"/>
                <w:szCs w:val="21"/>
                <w14:textFill>
                  <w14:solidFill>
                    <w14:schemeClr w14:val="tx1"/>
                  </w14:solidFill>
                </w14:textFill>
              </w:rPr>
              <w:t>持续下降</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75" w:type="dxa"/>
              <w:right w:w="15" w:type="dxa"/>
            </w:tcMar>
            <w:vAlign w:val="center"/>
          </w:tcPr>
          <w:p w14:paraId="4A789244">
            <w:pPr>
              <w:widowControl/>
              <w:wordWrap w:val="0"/>
              <w:jc w:val="center"/>
              <w:rPr>
                <w:rFonts w:cs="宋体" w:asciiTheme="minorEastAsia" w:hAnsiTheme="minorEastAsia"/>
                <w:kern w:val="0"/>
                <w:szCs w:val="21"/>
              </w:rPr>
            </w:pPr>
            <w:r>
              <w:rPr>
                <w:rFonts w:hint="eastAsia" w:cs="宋体" w:asciiTheme="minorEastAsia" w:hAnsiTheme="minorEastAsia"/>
                <w:kern w:val="0"/>
                <w:szCs w:val="21"/>
              </w:rPr>
              <w:t>约束性</w:t>
            </w:r>
          </w:p>
        </w:tc>
      </w:tr>
      <w:bookmarkEnd w:id="94"/>
      <w:bookmarkEnd w:id="95"/>
      <w:bookmarkEnd w:id="96"/>
    </w:tbl>
    <w:p w14:paraId="1EEB2E6F"/>
    <w:p w14:paraId="6253E9BF">
      <w:pPr>
        <w:keepNext/>
        <w:keepLines/>
        <w:tabs>
          <w:tab w:val="left" w:pos="7455"/>
        </w:tabs>
        <w:autoSpaceDE w:val="0"/>
        <w:autoSpaceDN w:val="0"/>
        <w:spacing w:line="360" w:lineRule="auto"/>
        <w:ind w:firstLine="640" w:firstLineChars="200"/>
        <w:jc w:val="left"/>
        <w:outlineLvl w:val="0"/>
        <w:rPr>
          <w:rFonts w:ascii="黑体" w:hAnsi="黑体" w:eastAsia="黑体" w:cs="Times New Roman"/>
          <w:kern w:val="44"/>
          <w:sz w:val="32"/>
          <w:szCs w:val="32"/>
        </w:rPr>
      </w:pPr>
      <w:bookmarkStart w:id="98" w:name="_Toc237847418"/>
      <w:bookmarkStart w:id="99" w:name="_Toc225259855"/>
      <w:bookmarkStart w:id="100" w:name="_Toc235857855"/>
      <w:bookmarkStart w:id="101" w:name="_Toc225259784"/>
      <w:bookmarkStart w:id="102" w:name="_Toc229475474"/>
      <w:bookmarkStart w:id="103" w:name="_Toc225367681"/>
      <w:r>
        <w:rPr>
          <w:rFonts w:hint="eastAsia" w:ascii="黑体" w:hAnsi="黑体" w:eastAsia="黑体" w:cs="Times New Roman"/>
          <w:kern w:val="44"/>
          <w:sz w:val="32"/>
          <w:szCs w:val="32"/>
        </w:rPr>
        <w:t>三、打造</w:t>
      </w:r>
      <w:r>
        <w:rPr>
          <w:rFonts w:hint="eastAsia" w:ascii="黑体" w:hAnsi="黑体" w:eastAsia="黑体" w:cs="Times New Roman"/>
          <w:color w:val="000000" w:themeColor="text1"/>
          <w:kern w:val="44"/>
          <w:sz w:val="32"/>
          <w:szCs w:val="32"/>
          <w14:textFill>
            <w14:solidFill>
              <w14:schemeClr w14:val="tx1"/>
            </w14:solidFill>
          </w14:textFill>
        </w:rPr>
        <w:t>雪域</w:t>
      </w:r>
      <w:r>
        <w:rPr>
          <w:rFonts w:hint="eastAsia" w:ascii="黑体" w:hAnsi="黑体" w:eastAsia="黑体" w:cs="Times New Roman"/>
          <w:kern w:val="44"/>
          <w:sz w:val="32"/>
          <w:szCs w:val="32"/>
        </w:rPr>
        <w:t>健康城市</w:t>
      </w:r>
      <w:bookmarkEnd w:id="98"/>
      <w:bookmarkEnd w:id="99"/>
      <w:bookmarkEnd w:id="100"/>
      <w:bookmarkEnd w:id="101"/>
      <w:bookmarkEnd w:id="102"/>
      <w:bookmarkEnd w:id="103"/>
    </w:p>
    <w:p w14:paraId="59856450">
      <w:pPr>
        <w:keepNext/>
        <w:keepLines/>
        <w:autoSpaceDE w:val="0"/>
        <w:autoSpaceDN w:val="0"/>
        <w:spacing w:before="156" w:beforeLines="50" w:line="360" w:lineRule="auto"/>
        <w:ind w:firstLine="643" w:firstLineChars="200"/>
        <w:outlineLvl w:val="1"/>
        <w:rPr>
          <w:rFonts w:ascii="仿宋" w:hAnsi="仿宋" w:eastAsia="仿宋" w:cs="Times New Roman"/>
          <w:b/>
          <w:snapToGrid w:val="0"/>
          <w:sz w:val="32"/>
          <w:szCs w:val="32"/>
        </w:rPr>
      </w:pPr>
      <w:bookmarkStart w:id="104" w:name="_Toc237847419"/>
      <w:bookmarkStart w:id="105" w:name="_Toc235857856"/>
      <w:r>
        <w:rPr>
          <w:rFonts w:hint="eastAsia" w:ascii="仿宋" w:hAnsi="仿宋" w:eastAsia="仿宋" w:cs="Times New Roman"/>
          <w:b/>
          <w:snapToGrid w:val="0"/>
          <w:sz w:val="32"/>
          <w:szCs w:val="32"/>
        </w:rPr>
        <w:t>（一）强化健康促进</w:t>
      </w:r>
      <w:bookmarkEnd w:id="104"/>
      <w:bookmarkEnd w:id="105"/>
    </w:p>
    <w:p w14:paraId="0404F7FD">
      <w:pPr>
        <w:adjustRightInd w:val="0"/>
        <w:snapToGrid w:val="0"/>
        <w:spacing w:line="360" w:lineRule="auto"/>
        <w:ind w:firstLine="640" w:firstLineChars="200"/>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以健康林芝建设为统领，坚持预防为主、关口前移，统筹健康促进、疾病防控与藏西医协同服务，推动卫生健康发展从以治病为中心向以健康为中心转变。健全藏汉双语健康教育与科普体系。将健康教育纳入国民教育体系，建设市、县两级健康教育科普平台，打造本土化科普内容，构建全媒体传播矩阵，提升全民健康素养。</w:t>
      </w:r>
    </w:p>
    <w:p w14:paraId="011F8C30">
      <w:pPr>
        <w:adjustRightInd w:val="0"/>
        <w:snapToGrid w:val="0"/>
        <w:spacing w:line="360" w:lineRule="auto"/>
        <w:ind w:firstLine="640" w:firstLineChars="200"/>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推进健康生活方式与营养干预。实施合理膳食和健康体重管理行动，结合藏式饮食特点深化“三减三健”。实施国民营养计划，完善高原营养健康标准，加强基层营养指导员配备，强化重点人群营养干预。推进无烟环境建设，强化戒烟服务，稳步降低15岁以上人群吸烟率。实施家庭健康促进行动。</w:t>
      </w:r>
    </w:p>
    <w:p w14:paraId="1C6CCCE5">
      <w:pPr>
        <w:adjustRightInd w:val="0"/>
        <w:snapToGrid w:val="0"/>
        <w:spacing w:line="360" w:lineRule="auto"/>
        <w:ind w:firstLine="640" w:firstLineChars="200"/>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促进全民健身与藏医养生融合。完善群众身边健身设施布局，补齐农牧区健身短板，推广大众健身项目与民族传统体育。发挥藏医药“治未病”优势，实现乡镇卫生院藏医馆全覆盖，推动藏医适宜技术下沉基层。</w:t>
      </w:r>
    </w:p>
    <w:p w14:paraId="47DFCF4A">
      <w:pPr>
        <w:adjustRightInd w:val="0"/>
        <w:snapToGrid w:val="0"/>
        <w:spacing w:line="360" w:lineRule="auto"/>
        <w:ind w:firstLine="640" w:firstLineChars="200"/>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完善社会心理服务与精神卫生体系。健全社会心理服务和危机干预机制，实现县区心理援助热线全覆盖，强化心理援助热线应用。加强严重精神障碍患者综合管理，发展精神障碍社区康复。</w:t>
      </w:r>
    </w:p>
    <w:p w14:paraId="2033B7FA">
      <w:pPr>
        <w:keepNext/>
        <w:keepLines/>
        <w:autoSpaceDE w:val="0"/>
        <w:autoSpaceDN w:val="0"/>
        <w:spacing w:before="156" w:beforeLines="50" w:line="360" w:lineRule="auto"/>
        <w:ind w:firstLine="643" w:firstLineChars="200"/>
        <w:outlineLvl w:val="1"/>
        <w:rPr>
          <w:rFonts w:ascii="仿宋" w:hAnsi="仿宋" w:eastAsia="仿宋" w:cs="Times New Roman"/>
          <w:b/>
          <w:snapToGrid w:val="0"/>
          <w:sz w:val="32"/>
          <w:szCs w:val="32"/>
        </w:rPr>
      </w:pPr>
      <w:bookmarkStart w:id="106" w:name="_Toc225259792"/>
      <w:bookmarkStart w:id="107" w:name="_Toc229475477"/>
      <w:bookmarkStart w:id="108" w:name="_Toc235857857"/>
      <w:bookmarkStart w:id="109" w:name="_Toc237847420"/>
      <w:bookmarkStart w:id="110" w:name="_Toc225367684"/>
      <w:bookmarkStart w:id="111" w:name="_Toc225259863"/>
      <w:r>
        <w:rPr>
          <w:rFonts w:hint="eastAsia" w:ascii="仿宋" w:hAnsi="仿宋" w:eastAsia="仿宋" w:cs="Times New Roman"/>
          <w:b/>
          <w:snapToGrid w:val="0"/>
          <w:sz w:val="32"/>
          <w:szCs w:val="32"/>
        </w:rPr>
        <w:t>（二）维护全生命周期全人群健康</w:t>
      </w:r>
      <w:bookmarkEnd w:id="106"/>
      <w:bookmarkEnd w:id="107"/>
      <w:bookmarkEnd w:id="108"/>
      <w:bookmarkEnd w:id="109"/>
      <w:bookmarkEnd w:id="110"/>
      <w:bookmarkEnd w:id="111"/>
    </w:p>
    <w:p w14:paraId="3ED1F75A">
      <w:pPr>
        <w:widowControl/>
        <w:shd w:val="clear" w:color="auto" w:fill="FFFFFF"/>
        <w:spacing w:line="675" w:lineRule="atLeast"/>
        <w:ind w:firstLine="640"/>
        <w:jc w:val="left"/>
        <w:rPr>
          <w:rFonts w:ascii="仿宋" w:hAnsi="仿宋" w:eastAsia="仿宋" w:cs="宋体"/>
          <w:b/>
          <w:color w:val="333333"/>
          <w:kern w:val="0"/>
          <w:sz w:val="32"/>
          <w:szCs w:val="32"/>
        </w:rPr>
      </w:pPr>
      <w:bookmarkStart w:id="112" w:name="_Toc225259864"/>
      <w:bookmarkStart w:id="113" w:name="_Toc225259793"/>
      <w:r>
        <w:rPr>
          <w:rFonts w:hint="eastAsia" w:ascii="仿宋" w:hAnsi="仿宋" w:eastAsia="仿宋" w:cs="宋体"/>
          <w:b/>
          <w:color w:val="333333"/>
          <w:kern w:val="0"/>
          <w:sz w:val="32"/>
          <w:szCs w:val="32"/>
        </w:rPr>
        <w:t>1.完善优生优育和托育服务。</w:t>
      </w:r>
    </w:p>
    <w:p w14:paraId="379E2033">
      <w:pPr>
        <w:widowControl/>
        <w:shd w:val="clear" w:color="auto" w:fill="FFFFFF"/>
        <w:spacing w:line="675" w:lineRule="atLeast"/>
        <w:ind w:firstLine="640"/>
        <w:jc w:val="left"/>
        <w:rPr>
          <w:rFonts w:ascii="仿宋" w:hAnsi="仿宋" w:eastAsia="仿宋" w:cs="宋体"/>
          <w:color w:val="333333"/>
          <w:kern w:val="0"/>
          <w:sz w:val="32"/>
          <w:szCs w:val="32"/>
        </w:rPr>
      </w:pPr>
      <w:r>
        <w:rPr>
          <w:rFonts w:hint="eastAsia" w:ascii="仿宋" w:hAnsi="仿宋" w:eastAsia="仿宋" w:cs="宋体"/>
          <w:color w:val="333333"/>
          <w:kern w:val="0"/>
          <w:sz w:val="32"/>
          <w:szCs w:val="32"/>
        </w:rPr>
        <w:t>完善生育支持政策体系，有效降低家庭生育养育教育成本。扩大生育保险制度覆盖面，推动实现政策范围内限额内住院分娩全额保障。建立生育休假成本共担机制。推动公共空间适儿化改造和母婴设施配备。加强生育力保护，依托现有医疗机构建立健全不孕不育防治网络，促进适龄孕育。实施早孕关爱行动、孕育和出生缺陷防治能力提升计划，强化危重孕产妇和新生儿救治，加强生育友好医院建设，改善产科和婴幼儿病房条件。推进分娩镇痛服务，加强镇痛分娩和辅助生殖技术医疗费用保障。规范辅助生殖技术管理应用。加快托育综合服务中心和公办托育服务网络建设，发展社区嵌入式托育。完善普惠托育服务价格政策，实施普惠托育机构运营补贴制度。加强托育机构综合监管。加强医育结合，推动辖区内医疗卫生机构面向托育服务机构，开展订单签约、婴幼儿健康管理和中医药健康等服务，落实疾病防控责任。</w:t>
      </w:r>
    </w:p>
    <w:p w14:paraId="2C3C6A08">
      <w:pPr>
        <w:widowControl/>
        <w:shd w:val="clear" w:color="auto" w:fill="FFFFFF"/>
        <w:spacing w:line="675" w:lineRule="atLeast"/>
        <w:ind w:firstLine="640"/>
        <w:jc w:val="left"/>
        <w:rPr>
          <w:rFonts w:ascii="仿宋" w:hAnsi="仿宋" w:eastAsia="仿宋" w:cs="宋体"/>
          <w:b/>
          <w:color w:val="333333"/>
          <w:kern w:val="0"/>
          <w:sz w:val="32"/>
          <w:szCs w:val="32"/>
        </w:rPr>
      </w:pPr>
      <w:r>
        <w:rPr>
          <w:rFonts w:hint="eastAsia" w:ascii="仿宋" w:hAnsi="仿宋" w:eastAsia="仿宋" w:cs="宋体"/>
          <w:b/>
          <w:color w:val="333333"/>
          <w:kern w:val="0"/>
          <w:sz w:val="32"/>
          <w:szCs w:val="32"/>
        </w:rPr>
        <w:t xml:space="preserve">2. </w:t>
      </w:r>
      <w:r>
        <w:rPr>
          <w:rFonts w:ascii="仿宋" w:hAnsi="仿宋" w:eastAsia="仿宋" w:cs="宋体"/>
          <w:b/>
          <w:color w:val="333333"/>
          <w:kern w:val="0"/>
          <w:sz w:val="32"/>
          <w:szCs w:val="32"/>
        </w:rPr>
        <w:t>加强妇女、儿童青少年健康服务</w:t>
      </w:r>
    </w:p>
    <w:p w14:paraId="0BAB2098">
      <w:pPr>
        <w:widowControl/>
        <w:shd w:val="clear" w:color="auto" w:fill="FFFFFF"/>
        <w:spacing w:line="675" w:lineRule="atLeast"/>
        <w:ind w:firstLine="640"/>
        <w:jc w:val="left"/>
        <w:rPr>
          <w:rFonts w:ascii="仿宋" w:hAnsi="仿宋" w:eastAsia="仿宋" w:cs="宋体"/>
          <w:color w:val="333333"/>
          <w:kern w:val="0"/>
          <w:sz w:val="32"/>
          <w:szCs w:val="32"/>
        </w:rPr>
      </w:pPr>
      <w:r>
        <w:rPr>
          <w:rFonts w:hint="eastAsia" w:ascii="仿宋" w:hAnsi="仿宋" w:eastAsia="仿宋" w:cs="宋体"/>
          <w:color w:val="333333"/>
          <w:kern w:val="0"/>
          <w:sz w:val="32"/>
          <w:szCs w:val="32"/>
        </w:rPr>
        <w:t>优化妇女全生命周期保健服务，加强月经、乳腺、盆底等保健专科服务，推动“两癌”筛查和早诊早治。继续实施加速消除宫颈癌行动计划和适龄女童国家免疫规划HPV疫苗免费接种。持续巩固消除艾滋病、梅毒和乙肝母婴传播成果，为艾滋病、梅毒和乙肝感染孕产妇及所生儿童提供预防母婴传播综合干预服务。围绕生命早期1000天开展护佑新生儿行动。持续推动新生儿先心病、遗传代谢病、听力障碍、0—6岁儿童孤独症等筛查工作。推动优质资源下沉农牧区。完善儿童早期发展服务，强化青少年性与生殖健康教育，实施儿童青少年体重、视力、心理、骨骼、口腔健康“五健”促进行动。加强中小学校卫生保健机构建设，创建“健康学校”。</w:t>
      </w:r>
    </w:p>
    <w:bookmarkEnd w:id="112"/>
    <w:bookmarkEnd w:id="113"/>
    <w:p w14:paraId="3684E955">
      <w:pPr>
        <w:ind w:firstLine="640"/>
        <w:outlineLvl w:val="1"/>
        <w:rPr>
          <w:rFonts w:ascii="仿宋" w:hAnsi="仿宋" w:eastAsia="仿宋" w:cs="Times New Roman"/>
          <w:b/>
          <w:sz w:val="32"/>
          <w:szCs w:val="32"/>
        </w:rPr>
      </w:pPr>
      <w:bookmarkStart w:id="114" w:name="_Toc237847421"/>
      <w:bookmarkStart w:id="115" w:name="_Toc235476211"/>
      <w:bookmarkStart w:id="116" w:name="_Toc235857858"/>
      <w:bookmarkStart w:id="117" w:name="_Toc225259796"/>
      <w:bookmarkStart w:id="118" w:name="_Toc225259867"/>
      <w:r>
        <w:rPr>
          <w:rFonts w:hint="eastAsia" w:ascii="仿宋" w:hAnsi="仿宋" w:eastAsia="仿宋" w:cs="Times New Roman"/>
          <w:b/>
          <w:bCs/>
          <w:snapToGrid w:val="0"/>
          <w:sz w:val="32"/>
          <w:szCs w:val="32"/>
        </w:rPr>
        <w:t>3.</w:t>
      </w:r>
      <w:r>
        <w:rPr>
          <w:rFonts w:ascii="仿宋" w:hAnsi="仿宋" w:eastAsia="仿宋" w:cs="Times New Roman"/>
          <w:b/>
          <w:sz w:val="32"/>
          <w:szCs w:val="32"/>
        </w:rPr>
        <w:t xml:space="preserve"> 强化职业人群健康保护</w:t>
      </w:r>
      <w:bookmarkEnd w:id="114"/>
      <w:bookmarkEnd w:id="115"/>
      <w:bookmarkEnd w:id="116"/>
    </w:p>
    <w:p w14:paraId="508C32E2">
      <w:pPr>
        <w:spacing w:line="580" w:lineRule="exact"/>
        <w:ind w:firstLine="640" w:firstLineChars="200"/>
        <w:rPr>
          <w:rFonts w:ascii="仿宋" w:hAnsi="仿宋" w:eastAsia="仿宋" w:cs="宋体"/>
          <w:snapToGrid w:val="0"/>
          <w:kern w:val="0"/>
          <w:sz w:val="32"/>
          <w:szCs w:val="32"/>
        </w:rPr>
      </w:pPr>
      <w:r>
        <w:rPr>
          <w:rFonts w:hint="eastAsia" w:ascii="仿宋" w:hAnsi="仿宋" w:eastAsia="仿宋" w:cs="宋体"/>
          <w:snapToGrid w:val="0"/>
          <w:kern w:val="0"/>
          <w:sz w:val="32"/>
          <w:szCs w:val="32"/>
        </w:rPr>
        <w:t>改善市疾病预防控制中心（卫生监督所）职业病防治设施设备条件，各县级疾控中心积极争取短时间内渐进式改善，提升职业卫生、放射卫生技术服务能力。深化职业病源头预防与危害专项治理，以职业病危害严重的重要行业和重要领域为重点，压实用人单位职业病防治主体责任，实施中小企业职业健康帮扶。</w:t>
      </w:r>
      <w:r>
        <w:rPr>
          <w:rFonts w:ascii="仿宋" w:hAnsi="仿宋" w:eastAsia="仿宋" w:cs="Times New Roman"/>
          <w:sz w:val="32"/>
          <w:szCs w:val="32"/>
        </w:rPr>
        <w:t>提升职业健康服务质效，优化全方位全周期劳动者健康管理，加强新兴产业、新业态职业病危害因素识别和风险评估。强化职业健康技术服务体系建设，提升监测预警能力，健全分级分类监管机制。</w:t>
      </w:r>
      <w:r>
        <w:rPr>
          <w:rFonts w:hint="eastAsia" w:ascii="仿宋" w:hAnsi="仿宋" w:eastAsia="仿宋" w:cs="宋体"/>
          <w:snapToGrid w:val="0"/>
          <w:kern w:val="0"/>
          <w:sz w:val="32"/>
          <w:szCs w:val="32"/>
        </w:rPr>
        <w:t>强化重大工程项目健康保障，针对高高原、长距离、大纵深及高温高湿高粉尘、长时间作业等特殊环境施工带来的职业卫生防治迫切需求，指导项目建设单位创建健康企业，建立健全职业健康管理体系，将职业病防治技术融入项目建设管理全过程。大力开展职业健康知识宣教，持续提升劳动者职业健康素养水平。加强对用人单位负责人、管理人员和劳动者职业健康培训，指导用人单位强化劳动者入藏前健康体检及高原适应能力评估，加强高原病防治和急救知识培训。依托市疾病预防控制中心，积极筹建林芝市职业病防治所，全面履行在地职业病防治职能。实施职业病防治人才培训项目，加强职业健康监督执法能力建设。</w:t>
      </w:r>
    </w:p>
    <w:p w14:paraId="4F754AAA">
      <w:pPr>
        <w:spacing w:line="360" w:lineRule="auto"/>
        <w:ind w:firstLine="643" w:firstLineChars="200"/>
        <w:rPr>
          <w:rFonts w:ascii="仿宋" w:hAnsi="仿宋" w:eastAsia="仿宋"/>
          <w:b/>
          <w:sz w:val="32"/>
          <w:szCs w:val="32"/>
        </w:rPr>
      </w:pPr>
      <w:r>
        <w:rPr>
          <w:rFonts w:hint="eastAsia" w:ascii="仿宋" w:hAnsi="仿宋" w:eastAsia="仿宋"/>
          <w:b/>
          <w:sz w:val="32"/>
          <w:szCs w:val="32"/>
        </w:rPr>
        <w:t>4.实施健康老龄化战略</w:t>
      </w:r>
    </w:p>
    <w:p w14:paraId="27056DC8">
      <w:pPr>
        <w:spacing w:line="360" w:lineRule="auto"/>
        <w:rPr>
          <w:rFonts w:ascii="仿宋" w:hAnsi="仿宋" w:eastAsia="仿宋"/>
          <w:sz w:val="32"/>
          <w:szCs w:val="32"/>
        </w:rPr>
      </w:pPr>
      <w:r>
        <w:rPr>
          <w:rFonts w:hint="eastAsia" w:ascii="仿宋" w:hAnsi="仿宋" w:eastAsia="仿宋"/>
          <w:sz w:val="32"/>
          <w:szCs w:val="32"/>
        </w:rPr>
        <w:tab/>
      </w:r>
      <w:r>
        <w:rPr>
          <w:rFonts w:hint="eastAsia" w:ascii="仿宋" w:hAnsi="仿宋" w:eastAsia="仿宋"/>
          <w:sz w:val="32"/>
          <w:szCs w:val="32"/>
        </w:rPr>
        <w:t>广泛宣传积极老龄观、健康老龄化理念。开展老年人健康促进专项行动。以基层医疗卫生机构和养老服务机构为依托，构建涵盖“预防保健、疾病诊治、康复护理、长期照护”适配高原环境的老年健康服务体系。实施老年健康促进行动，聚焦肺心病、骨关节疾病、高原慢性病等老年高发疾病，强化早筛早诊早治，支持医疗卫生机构探索上门医疗、家庭病床、巡回诊疗等服务模式。加强老年心理关爱和健康知识科普，健全阿尔茨海默病及其他认知障碍疾病筛查、干预与随访机制。</w:t>
      </w:r>
    </w:p>
    <w:p w14:paraId="2760AED1">
      <w:pPr>
        <w:spacing w:line="360" w:lineRule="auto"/>
        <w:ind w:firstLine="640" w:firstLineChars="200"/>
        <w:rPr>
          <w:rFonts w:ascii="仿宋" w:hAnsi="仿宋" w:eastAsia="仿宋"/>
          <w:sz w:val="32"/>
          <w:szCs w:val="32"/>
        </w:rPr>
      </w:pPr>
      <w:r>
        <w:rPr>
          <w:rFonts w:hint="eastAsia" w:ascii="仿宋" w:hAnsi="仿宋" w:eastAsia="仿宋"/>
          <w:sz w:val="32"/>
          <w:szCs w:val="32"/>
        </w:rPr>
        <w:t>依托现有医疗卫生机构，支持发展老年医学特色医院，重点加强老年疾病相关科室建设。加强老年友善医疗机构内涵建设。全面实施医疗机构病房适老化改造，推动老年人就医绿色通道全覆盖，优化老年慢病多学科诊疗模式，提升老年疾病综合诊治和共病管理能力。发展中（藏）医药特色老年健康服务，将藏医药浴、针灸、理疗等适宜技术融入老年慢病管理与康养康复，探索建设中（藏）医药特色医养结合机构，打造“藏医药+养老”高原康养服务品牌。</w:t>
      </w:r>
    </w:p>
    <w:bookmarkEnd w:id="117"/>
    <w:bookmarkEnd w:id="118"/>
    <w:p w14:paraId="64EC78F9">
      <w:pPr>
        <w:spacing w:line="360" w:lineRule="auto"/>
        <w:ind w:firstLine="643" w:firstLineChars="200"/>
        <w:rPr>
          <w:rFonts w:ascii="仿宋" w:hAnsi="仿宋" w:eastAsia="仿宋"/>
          <w:b/>
          <w:sz w:val="32"/>
          <w:szCs w:val="32"/>
        </w:rPr>
      </w:pPr>
      <w:bookmarkStart w:id="119" w:name="_Toc225259869"/>
      <w:bookmarkStart w:id="120" w:name="_Toc225259798"/>
      <w:r>
        <w:rPr>
          <w:rFonts w:hint="eastAsia" w:ascii="仿宋" w:hAnsi="仿宋" w:eastAsia="仿宋"/>
          <w:b/>
          <w:sz w:val="32"/>
          <w:szCs w:val="32"/>
        </w:rPr>
        <w:t>5.提升安宁疗护服务质量</w:t>
      </w:r>
      <w:bookmarkEnd w:id="119"/>
      <w:bookmarkEnd w:id="120"/>
    </w:p>
    <w:p w14:paraId="5C6A41F3">
      <w:pPr>
        <w:adjustRightInd w:val="0"/>
        <w:snapToGrid w:val="0"/>
        <w:spacing w:line="360" w:lineRule="auto"/>
        <w:ind w:firstLine="640" w:firstLineChars="200"/>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将安宁疗护纳入老龄健康和肿瘤防治计划，为疾病终末期患者提供疼痛控制、症状缓解、心理支持和人文关怀。依托市人民医院、藏医院和部分县级综合医院探索设立安宁疗护病房或专区，鼓励有条件的基层医疗机构、医养结合机构开展安宁疗护服务，逐步形成以市级安宁疗护中心为引领、基层为主体、居家为补充的服务格局。制定服务标准与操作规范，推广藏医药在疼痛管理、情志调理中的独特作用，组建由医生、护士、心理咨询师、社工、志愿者组成的多学科安宁疗护团队。开展专业培训，将</w:t>
      </w:r>
      <w:bookmarkStart w:id="121" w:name="OLE_LINK15"/>
      <w:r>
        <w:rPr>
          <w:rFonts w:hint="eastAsia" w:ascii="仿宋" w:hAnsi="仿宋" w:eastAsia="仿宋" w:cs="宋体"/>
          <w:snapToGrid w:val="0"/>
          <w:color w:val="000000"/>
          <w:kern w:val="0"/>
          <w:sz w:val="32"/>
          <w:szCs w:val="32"/>
        </w:rPr>
        <w:t>安宁疗护</w:t>
      </w:r>
      <w:bookmarkEnd w:id="121"/>
      <w:r>
        <w:rPr>
          <w:rFonts w:hint="eastAsia" w:ascii="仿宋" w:hAnsi="仿宋" w:eastAsia="仿宋" w:cs="宋体"/>
          <w:snapToGrid w:val="0"/>
          <w:color w:val="000000"/>
          <w:kern w:val="0"/>
          <w:sz w:val="32"/>
          <w:szCs w:val="32"/>
        </w:rPr>
        <w:t>理念融入医学继续教育和藏医传承，探索将必要服务项目纳入基本医保支付范</w:t>
      </w:r>
      <w:r>
        <w:rPr>
          <w:rFonts w:hint="eastAsia" w:ascii="仿宋" w:hAnsi="仿宋" w:eastAsia="仿宋" w:cs="宋体"/>
          <w:snapToGrid w:val="0"/>
          <w:kern w:val="0"/>
          <w:sz w:val="32"/>
          <w:szCs w:val="32"/>
        </w:rPr>
        <w:t>围，引导社会力量参与事业发展。</w:t>
      </w:r>
    </w:p>
    <w:p w14:paraId="4ECB6B56">
      <w:pPr>
        <w:spacing w:line="360" w:lineRule="auto"/>
        <w:ind w:firstLine="643" w:firstLineChars="200"/>
        <w:rPr>
          <w:rFonts w:ascii="仿宋" w:hAnsi="仿宋" w:eastAsia="仿宋"/>
          <w:b/>
          <w:sz w:val="32"/>
          <w:szCs w:val="32"/>
        </w:rPr>
      </w:pPr>
      <w:r>
        <w:rPr>
          <w:rFonts w:hint="eastAsia" w:ascii="仿宋" w:hAnsi="仿宋" w:eastAsia="仿宋"/>
          <w:b/>
          <w:sz w:val="32"/>
          <w:szCs w:val="32"/>
        </w:rPr>
        <w:t>6.维护残疾人健康</w:t>
      </w:r>
    </w:p>
    <w:p w14:paraId="77325D9B">
      <w:pPr>
        <w:ind w:firstLine="640" w:firstLineChars="200"/>
        <w:rPr>
          <w:rFonts w:ascii="仿宋" w:hAnsi="仿宋" w:eastAsia="仿宋"/>
          <w:sz w:val="32"/>
          <w:szCs w:val="32"/>
        </w:rPr>
      </w:pPr>
      <w:r>
        <w:rPr>
          <w:rFonts w:hint="eastAsia" w:ascii="仿宋" w:hAnsi="仿宋" w:eastAsia="仿宋"/>
          <w:sz w:val="32"/>
          <w:szCs w:val="32"/>
        </w:rPr>
        <w:t>构建以残疾人康复机构为龙头、基层医疗卫生机构为网底的残疾人健康服务网络，加强残疾人康复专业技术人员及精神类（智力、孤独症）基层残疾评残医生培养，规范并精准评定残疾人残疾等级，对重度残疾人、残疾儿童健康档案“一人一档”进行管理。健全残疾儿童筛查全流程管理机制，实施残疾预防行动计划，强化残疾预防早期筛查干预。落实残疾儿童康复救助及辅助器具适配政策，为0-14周岁残疾儿童提供手术、康复训练及基本型辅具器具适配，推广藏医康复适宜技术在残疾人康复活动中的应用。推进残疾人友好医疗机构建设，推广残疾人友好就医服务理念，开设残疾人看病就医绿色通道，完善医疗机构无障碍环境，优化残疾人就医流程。建立健全失能残疾人长期护理保险机制，将符合条件的残疾人常用民族药纳入医保支付范围，对因病致贫困难残疾人实施医疗救助全覆盖。全面推进健康乡村建设，健全常态化防止因病返贫致贫动态监测和精准帮扶机制。</w:t>
      </w:r>
    </w:p>
    <w:p w14:paraId="160D0800">
      <w:pPr>
        <w:spacing w:line="360" w:lineRule="auto"/>
        <w:ind w:firstLine="643" w:firstLineChars="200"/>
        <w:rPr>
          <w:rFonts w:ascii="仿宋" w:hAnsi="仿宋" w:eastAsia="仿宋"/>
          <w:b/>
          <w:sz w:val="32"/>
          <w:szCs w:val="32"/>
        </w:rPr>
      </w:pPr>
      <w:r>
        <w:rPr>
          <w:rFonts w:hint="eastAsia" w:ascii="仿宋" w:hAnsi="仿宋" w:eastAsia="仿宋"/>
          <w:b/>
          <w:sz w:val="32"/>
          <w:szCs w:val="32"/>
        </w:rPr>
        <w:t>7. 构建慢性病一体化管理格局</w:t>
      </w:r>
    </w:p>
    <w:p w14:paraId="0B5FDBAA">
      <w:pPr>
        <w:ind w:firstLine="640" w:firstLineChars="200"/>
        <w:rPr>
          <w:rFonts w:ascii="仿宋" w:hAnsi="仿宋" w:eastAsia="仿宋"/>
          <w:sz w:val="32"/>
          <w:szCs w:val="32"/>
        </w:rPr>
      </w:pPr>
      <w:r>
        <w:rPr>
          <w:rFonts w:hint="eastAsia" w:ascii="仿宋" w:hAnsi="仿宋" w:eastAsia="仿宋"/>
          <w:sz w:val="32"/>
          <w:szCs w:val="32"/>
        </w:rPr>
        <w:t>以健康危险因素控制与全程健康管理为核心，推动慢性病“防筛诊治康护管”融合发展，高质量实施基本公共卫生服务项目，逐步提高经费财政补贴标准，规范体检内容项目，加强解读服务指导，强化多病同防同治同管。加快慢性病综合防控示范区建设。强化慢性病筛查和早期发现，深入推进心脑血管疾病防治、癌症防治、慢性呼吸系统疾病防治和糖尿病防治“四大慢病”防治行动，针对高发地区重点癌症开展早诊早治工作，推动癌症、脑卒中、冠心病等慢性病的机会性筛查，逐步将符合条件的癌症、脑卒中等重大慢性病早诊早治适宜技术纳入诊疗常规。完善常态长效“网格发现、家医报到、识别干预、及时转诊”的健康管理工作机制，深化十类重点人群健康管理，对重点人群实行“红黄绿”三色管理。</w:t>
      </w:r>
    </w:p>
    <w:p w14:paraId="71048BC3">
      <w:pPr>
        <w:keepNext/>
        <w:keepLines/>
        <w:autoSpaceDE w:val="0"/>
        <w:autoSpaceDN w:val="0"/>
        <w:spacing w:before="156" w:beforeLines="50" w:line="360" w:lineRule="auto"/>
        <w:ind w:firstLine="643" w:firstLineChars="200"/>
        <w:outlineLvl w:val="1"/>
        <w:rPr>
          <w:rFonts w:ascii="仿宋" w:hAnsi="仿宋" w:eastAsia="仿宋" w:cs="Times New Roman"/>
          <w:b/>
          <w:snapToGrid w:val="0"/>
          <w:sz w:val="32"/>
          <w:szCs w:val="32"/>
        </w:rPr>
      </w:pPr>
      <w:bookmarkStart w:id="122" w:name="_Toc225259799"/>
      <w:bookmarkStart w:id="123" w:name="_Toc229475478"/>
      <w:bookmarkStart w:id="124" w:name="_Toc225259870"/>
      <w:bookmarkStart w:id="125" w:name="_Toc225367685"/>
      <w:bookmarkStart w:id="126" w:name="_Toc235857859"/>
      <w:bookmarkStart w:id="127" w:name="_Toc237847422"/>
      <w:r>
        <w:rPr>
          <w:rFonts w:hint="eastAsia" w:ascii="仿宋" w:hAnsi="仿宋" w:eastAsia="仿宋" w:cs="Times New Roman"/>
          <w:b/>
          <w:snapToGrid w:val="0"/>
          <w:sz w:val="32"/>
          <w:szCs w:val="32"/>
        </w:rPr>
        <w:t>（三）深化爱国卫生运动，构建健康促进新格局</w:t>
      </w:r>
      <w:bookmarkEnd w:id="122"/>
      <w:bookmarkEnd w:id="123"/>
      <w:bookmarkEnd w:id="124"/>
      <w:bookmarkEnd w:id="125"/>
      <w:bookmarkEnd w:id="126"/>
      <w:bookmarkEnd w:id="127"/>
    </w:p>
    <w:p w14:paraId="09B0D3FD">
      <w:pPr>
        <w:keepNext/>
        <w:keepLines/>
        <w:autoSpaceDE w:val="0"/>
        <w:autoSpaceDN w:val="0"/>
        <w:spacing w:line="360" w:lineRule="auto"/>
        <w:ind w:firstLine="643" w:firstLineChars="200"/>
        <w:outlineLvl w:val="2"/>
        <w:rPr>
          <w:rFonts w:ascii="仿宋" w:hAnsi="仿宋" w:eastAsia="仿宋" w:cs="Times New Roman"/>
          <w:b/>
          <w:bCs/>
          <w:snapToGrid w:val="0"/>
          <w:sz w:val="32"/>
          <w:szCs w:val="32"/>
        </w:rPr>
      </w:pPr>
      <w:r>
        <w:rPr>
          <w:rFonts w:hint="eastAsia" w:ascii="仿宋" w:hAnsi="仿宋" w:eastAsia="仿宋" w:cs="Times New Roman"/>
          <w:b/>
          <w:bCs/>
          <w:snapToGrid w:val="0"/>
          <w:sz w:val="32"/>
          <w:szCs w:val="32"/>
        </w:rPr>
        <w:t>1.强化爱国卫生，高质量推进健康城镇建设</w:t>
      </w:r>
    </w:p>
    <w:p w14:paraId="12387613">
      <w:pPr>
        <w:ind w:firstLine="640" w:firstLineChars="200"/>
        <w:rPr>
          <w:rFonts w:ascii="仿宋_GB2312" w:hAnsi="仿宋_GB2312" w:eastAsia="仿宋_GB2312" w:cs="仿宋_GB2312"/>
          <w:sz w:val="32"/>
          <w:szCs w:val="24"/>
        </w:rPr>
      </w:pPr>
      <w:r>
        <w:rPr>
          <w:rFonts w:hint="eastAsia" w:ascii="仿宋_GB2312" w:hAnsi="仿宋_GB2312" w:eastAsia="仿宋_GB2312" w:cs="仿宋_GB2312"/>
          <w:sz w:val="32"/>
          <w:szCs w:val="24"/>
        </w:rPr>
        <w:t>落实《国务院关于深入开展爱国卫生运动的意见》要求，丰富爱国卫生工作内涵，健全和完善工作机制，强化多元共建共治共享。开展环境卫生综合整治，强化病媒生物防制，深入实施健康林芝专项行动，争创全国健康城镇。创新工作方式方法，将健康融入基层治理。</w:t>
      </w:r>
      <w:bookmarkStart w:id="128" w:name="_Toc10847"/>
      <w:bookmarkStart w:id="129" w:name="_Toc533608024"/>
      <w:bookmarkStart w:id="130" w:name="_Toc30691"/>
      <w:bookmarkStart w:id="131" w:name="_Toc31375"/>
      <w:bookmarkStart w:id="132" w:name="_Toc5486"/>
      <w:bookmarkStart w:id="133" w:name="_Toc2691"/>
      <w:bookmarkStart w:id="134" w:name="_Toc5405"/>
      <w:r>
        <w:rPr>
          <w:rFonts w:hint="eastAsia" w:ascii="仿宋_GB2312" w:hAnsi="仿宋_GB2312" w:eastAsia="仿宋_GB2312" w:cs="仿宋_GB2312"/>
          <w:sz w:val="32"/>
          <w:szCs w:val="24"/>
        </w:rPr>
        <w:t>营造绿色安全健康环境</w:t>
      </w:r>
      <w:bookmarkEnd w:id="128"/>
      <w:bookmarkEnd w:id="129"/>
      <w:bookmarkEnd w:id="130"/>
      <w:bookmarkEnd w:id="131"/>
      <w:bookmarkEnd w:id="132"/>
      <w:bookmarkEnd w:id="133"/>
      <w:bookmarkEnd w:id="134"/>
      <w:r>
        <w:rPr>
          <w:rFonts w:hint="eastAsia" w:ascii="仿宋_GB2312" w:hAnsi="仿宋_GB2312" w:eastAsia="仿宋_GB2312" w:cs="仿宋_GB2312"/>
          <w:sz w:val="32"/>
          <w:szCs w:val="24"/>
        </w:rPr>
        <w:t>，完善伤害预防体系，提升环境健康风险评估预警能力，加强气候敏感疾病防控，推进医疗机构气候韧性改造、应急物资前置储备和平急两用能力建设。</w:t>
      </w:r>
    </w:p>
    <w:p w14:paraId="596C3BAA">
      <w:pPr>
        <w:ind w:firstLine="640" w:firstLineChars="200"/>
        <w:rPr>
          <w:rFonts w:ascii="仿宋" w:hAnsi="仿宋" w:eastAsia="仿宋" w:cs="宋体"/>
          <w:snapToGrid w:val="0"/>
          <w:color w:val="000000"/>
          <w:kern w:val="0"/>
          <w:sz w:val="32"/>
          <w:szCs w:val="32"/>
        </w:rPr>
      </w:pPr>
      <w:r>
        <w:rPr>
          <w:rFonts w:hint="eastAsia" w:ascii="仿宋_GB2312" w:hAnsi="仿宋_GB2312" w:eastAsia="仿宋_GB2312" w:cs="仿宋_GB2312"/>
          <w:sz w:val="32"/>
          <w:szCs w:val="24"/>
        </w:rPr>
        <w:t>探索建立并推行健康影响评估制度，在制定经济社会发展规划、政策和实施重大工程、开发项目前，系统评估其对居民及游客健康的潜在影响，特别关注高原适应性、心理健康及生态安全，</w:t>
      </w:r>
      <w:r>
        <w:rPr>
          <w:rFonts w:hint="eastAsia" w:ascii="仿宋" w:hAnsi="仿宋" w:eastAsia="仿宋" w:cs="宋体"/>
          <w:snapToGrid w:val="0"/>
          <w:color w:val="000000"/>
          <w:kern w:val="0"/>
          <w:sz w:val="32"/>
          <w:szCs w:val="32"/>
        </w:rPr>
        <w:t>从源头上防控健康风险。系统推进健康城镇与健康细胞工程建设，广泛培育健康社区（村）、学校、机关、企业，把全生命周期健康管理理念贯穿城镇规划、建设、管理全过程。完善健身步道、健康主题公园等支持性环境，结合乡村旅游升级，在景区景点布局健康宣教点和公共卫生服务点，构建覆盖城乡的健康支持网络。</w:t>
      </w:r>
    </w:p>
    <w:p w14:paraId="04C68295">
      <w:pPr>
        <w:keepNext/>
        <w:keepLines/>
        <w:autoSpaceDE w:val="0"/>
        <w:autoSpaceDN w:val="0"/>
        <w:spacing w:line="360" w:lineRule="auto"/>
        <w:ind w:firstLine="643" w:firstLineChars="200"/>
        <w:outlineLvl w:val="2"/>
        <w:rPr>
          <w:rFonts w:ascii="仿宋" w:hAnsi="仿宋" w:eastAsia="仿宋" w:cs="Times New Roman"/>
          <w:b/>
          <w:bCs/>
          <w:snapToGrid w:val="0"/>
          <w:sz w:val="32"/>
          <w:szCs w:val="32"/>
        </w:rPr>
      </w:pPr>
      <w:bookmarkStart w:id="135" w:name="_Toc225259871"/>
      <w:bookmarkStart w:id="136" w:name="_Toc225259800"/>
      <w:r>
        <w:rPr>
          <w:rFonts w:hint="eastAsia" w:ascii="仿宋" w:hAnsi="仿宋" w:eastAsia="仿宋" w:cs="Times New Roman"/>
          <w:b/>
          <w:bCs/>
          <w:snapToGrid w:val="0"/>
          <w:sz w:val="32"/>
          <w:szCs w:val="32"/>
        </w:rPr>
        <w:t>2.倡导文明健康生活方式</w:t>
      </w:r>
      <w:bookmarkEnd w:id="135"/>
      <w:bookmarkEnd w:id="136"/>
    </w:p>
    <w:p w14:paraId="1AA8B72F">
      <w:pPr>
        <w:adjustRightInd w:val="0"/>
        <w:snapToGrid w:val="0"/>
        <w:spacing w:line="360" w:lineRule="auto"/>
        <w:ind w:firstLine="640" w:firstLineChars="200"/>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实施全民健康生活方式行动，推进健康体重管理行动，实施合理膳食行动与国民营养计划，加强营养指导员配备和营养干预。持续开展“三减三健”专项行动，将其作为落实合理膳食与全民健身行动的重要抓手。加大优质科普作品创作，依托基层宣讲、新媒体等渠道，普及高原病预防、科学运动及慢病防控知识。大力倡导“健康第一责任人”的理念，将“健康体重”管理融入社区服务和日常健康监测。结合民族饮食传统，推广均衡膳食，革除生活陋习，推崇文明健康的生活方式。持续推进城乡环境卫生综合整治，强化垃圾污水治理和饮用水安全保障。推广“健康家庭”评选标准，将健康生活方式纳入文明家庭、五好家庭评选指标。开展全民健身设施补短板行动，推进学校体育设施向社会开放，到2030年实现80%以上的中小学体育场地设施在课余时间免费开放。</w:t>
      </w:r>
    </w:p>
    <w:p w14:paraId="1302634F">
      <w:pPr>
        <w:keepNext/>
        <w:keepLines/>
        <w:autoSpaceDE w:val="0"/>
        <w:autoSpaceDN w:val="0"/>
        <w:spacing w:line="360" w:lineRule="auto"/>
        <w:ind w:firstLine="643" w:firstLineChars="200"/>
        <w:outlineLvl w:val="2"/>
        <w:rPr>
          <w:rFonts w:ascii="仿宋" w:hAnsi="仿宋" w:eastAsia="仿宋" w:cs="Times New Roman"/>
          <w:b/>
          <w:bCs/>
          <w:snapToGrid w:val="0"/>
          <w:sz w:val="32"/>
          <w:szCs w:val="32"/>
        </w:rPr>
      </w:pPr>
      <w:bookmarkStart w:id="137" w:name="_Toc225259872"/>
      <w:bookmarkStart w:id="138" w:name="_Toc225259801"/>
      <w:r>
        <w:rPr>
          <w:rFonts w:hint="eastAsia" w:ascii="仿宋" w:hAnsi="仿宋" w:eastAsia="仿宋" w:cs="Times New Roman"/>
          <w:b/>
          <w:bCs/>
          <w:snapToGrid w:val="0"/>
          <w:sz w:val="32"/>
          <w:szCs w:val="32"/>
        </w:rPr>
        <w:t>3.健全社会参与的长效</w:t>
      </w:r>
      <w:bookmarkEnd w:id="137"/>
      <w:bookmarkEnd w:id="138"/>
      <w:r>
        <w:rPr>
          <w:rFonts w:hint="eastAsia" w:ascii="仿宋" w:hAnsi="仿宋" w:eastAsia="仿宋" w:cs="Times New Roman"/>
          <w:b/>
          <w:bCs/>
          <w:snapToGrid w:val="0"/>
          <w:sz w:val="32"/>
          <w:szCs w:val="32"/>
        </w:rPr>
        <w:t>机制</w:t>
      </w:r>
    </w:p>
    <w:p w14:paraId="1EE8E477">
      <w:pPr>
        <w:adjustRightInd w:val="0"/>
        <w:snapToGrid w:val="0"/>
        <w:spacing w:line="360" w:lineRule="auto"/>
        <w:ind w:firstLine="640" w:firstLineChars="200"/>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强化爱国卫生运动委员会的统筹协调作用，健全多部门联动机制，协同研究解决城乡人居环境整治、公共卫生安全等重大问题。鼓励社会组织、公众等参与健康治理。创新“智慧爱卫”模式，充分利用大数据分析区域健康危险因素，运用人工智能、物联网技术加强病媒生物监测预警，提升管理效能；依托信息化手段优化流程，提高社会参与度。将主要健康指标、普惠托育服务发展等纳入相关考评体系，发挥考核“指挥棒”作用，推动工作常态化、社会化。</w:t>
      </w:r>
    </w:p>
    <w:p w14:paraId="2499B00F">
      <w:pPr>
        <w:keepNext/>
        <w:keepLines/>
        <w:autoSpaceDE w:val="0"/>
        <w:autoSpaceDN w:val="0"/>
        <w:spacing w:line="360" w:lineRule="auto"/>
        <w:ind w:firstLine="643" w:firstLineChars="200"/>
        <w:outlineLvl w:val="2"/>
        <w:rPr>
          <w:rFonts w:ascii="仿宋" w:hAnsi="仿宋" w:eastAsia="仿宋" w:cs="Times New Roman"/>
          <w:b/>
          <w:bCs/>
          <w:snapToGrid w:val="0"/>
          <w:sz w:val="32"/>
          <w:szCs w:val="32"/>
        </w:rPr>
      </w:pPr>
      <w:bookmarkStart w:id="139" w:name="_Toc225259873"/>
      <w:bookmarkStart w:id="140" w:name="_Toc225259802"/>
      <w:r>
        <w:rPr>
          <w:rFonts w:hint="eastAsia" w:ascii="仿宋" w:hAnsi="仿宋" w:eastAsia="仿宋" w:cs="Times New Roman"/>
          <w:b/>
          <w:bCs/>
          <w:snapToGrid w:val="0"/>
          <w:sz w:val="32"/>
          <w:szCs w:val="32"/>
        </w:rPr>
        <w:t>4.筑牢重点传染病防控屏障</w:t>
      </w:r>
      <w:bookmarkEnd w:id="139"/>
      <w:bookmarkEnd w:id="140"/>
    </w:p>
    <w:p w14:paraId="0990F567">
      <w:pPr>
        <w:adjustRightInd w:val="0"/>
        <w:snapToGrid w:val="0"/>
        <w:spacing w:line="360" w:lineRule="auto"/>
        <w:ind w:firstLine="640" w:firstLineChars="200"/>
      </w:pPr>
      <w:r>
        <w:rPr>
          <w:rFonts w:hint="eastAsia" w:ascii="仿宋" w:hAnsi="仿宋" w:eastAsia="仿宋" w:cs="宋体"/>
          <w:snapToGrid w:val="0"/>
          <w:color w:val="000000"/>
          <w:kern w:val="0"/>
          <w:sz w:val="32"/>
          <w:szCs w:val="32"/>
        </w:rPr>
        <w:t>将爱国卫生运动作为常态化传染病防控的重要依托，聚焦交通枢纽、旅游景点、边境村镇等重点场所和薄弱环节。深入开展病媒生物防制，消除滋生环境，科学防控登革热等媒介传染病。强化与农业农村等部门协同，加强人畜共患病防控。充分发挥村（居）公共卫生委员会、社区网格员的前哨作用，推动爱国卫生运动与基层治理深度融合，筑牢群防群控的社会防线，保障公共卫生安全与经济社会稳定。</w:t>
      </w:r>
    </w:p>
    <w:p w14:paraId="5352E8D2">
      <w:pPr>
        <w:keepNext/>
        <w:keepLines/>
        <w:autoSpaceDE w:val="0"/>
        <w:autoSpaceDN w:val="0"/>
        <w:spacing w:line="360" w:lineRule="auto"/>
        <w:ind w:firstLine="643" w:firstLineChars="200"/>
        <w:jc w:val="left"/>
        <w:outlineLvl w:val="0"/>
        <w:rPr>
          <w:rFonts w:ascii="黑体" w:hAnsi="黑体" w:eastAsia="黑体" w:cs="Times New Roman"/>
          <w:b/>
          <w:color w:val="FF0000"/>
          <w:kern w:val="44"/>
          <w:sz w:val="32"/>
          <w:szCs w:val="32"/>
        </w:rPr>
      </w:pPr>
      <w:bookmarkStart w:id="141" w:name="_Toc225367686"/>
      <w:bookmarkStart w:id="142" w:name="_Toc237847423"/>
      <w:bookmarkStart w:id="143" w:name="_Toc225259874"/>
      <w:bookmarkStart w:id="144" w:name="_Toc225259803"/>
      <w:bookmarkStart w:id="145" w:name="_Toc229475479"/>
      <w:bookmarkStart w:id="146" w:name="_Toc235857860"/>
      <w:r>
        <w:rPr>
          <w:rFonts w:hint="eastAsia" w:ascii="黑体" w:hAnsi="黑体" w:eastAsia="黑体" w:cs="Times New Roman"/>
          <w:b/>
          <w:kern w:val="44"/>
          <w:sz w:val="32"/>
          <w:szCs w:val="32"/>
        </w:rPr>
        <w:t>四、健全公共卫生屏障</w:t>
      </w:r>
      <w:bookmarkEnd w:id="141"/>
      <w:bookmarkEnd w:id="142"/>
      <w:bookmarkEnd w:id="143"/>
      <w:bookmarkEnd w:id="144"/>
      <w:bookmarkEnd w:id="145"/>
      <w:bookmarkEnd w:id="146"/>
      <w:r>
        <w:rPr>
          <w:rFonts w:hint="eastAsia" w:ascii="黑体" w:hAnsi="黑体" w:eastAsia="黑体" w:cs="Times New Roman"/>
          <w:b/>
          <w:kern w:val="44"/>
          <w:sz w:val="32"/>
          <w:szCs w:val="32"/>
        </w:rPr>
        <w:t xml:space="preserve"> </w:t>
      </w:r>
    </w:p>
    <w:p w14:paraId="625E3B25">
      <w:pPr>
        <w:keepNext/>
        <w:keepLines/>
        <w:autoSpaceDE w:val="0"/>
        <w:autoSpaceDN w:val="0"/>
        <w:spacing w:before="156" w:beforeLines="50" w:line="360" w:lineRule="auto"/>
        <w:ind w:firstLine="643" w:firstLineChars="200"/>
        <w:outlineLvl w:val="1"/>
        <w:rPr>
          <w:rFonts w:ascii="仿宋" w:hAnsi="仿宋" w:eastAsia="仿宋" w:cs="Times New Roman"/>
          <w:b/>
          <w:sz w:val="32"/>
          <w:szCs w:val="32"/>
        </w:rPr>
      </w:pPr>
      <w:bookmarkStart w:id="147" w:name="_Toc237847424"/>
      <w:bookmarkStart w:id="148" w:name="_Toc235857861"/>
      <w:r>
        <w:rPr>
          <w:rFonts w:hint="eastAsia" w:ascii="仿宋" w:hAnsi="仿宋" w:eastAsia="仿宋" w:cs="Times New Roman"/>
          <w:b/>
          <w:sz w:val="32"/>
          <w:szCs w:val="32"/>
        </w:rPr>
        <w:t>（一）完善疾病预防控制体系</w:t>
      </w:r>
      <w:bookmarkEnd w:id="147"/>
      <w:bookmarkEnd w:id="148"/>
    </w:p>
    <w:p w14:paraId="1B63BEB8">
      <w:pPr>
        <w:adjustRightInd w:val="0"/>
        <w:snapToGrid w:val="0"/>
        <w:spacing w:line="360" w:lineRule="auto"/>
        <w:ind w:firstLine="643" w:firstLineChars="200"/>
        <w:rPr>
          <w:rFonts w:ascii="仿宋" w:hAnsi="仿宋" w:eastAsia="仿宋" w:cs="宋体"/>
          <w:bCs/>
          <w:snapToGrid w:val="0"/>
          <w:color w:val="000000"/>
          <w:kern w:val="0"/>
          <w:sz w:val="32"/>
          <w:szCs w:val="32"/>
        </w:rPr>
      </w:pPr>
      <w:r>
        <w:rPr>
          <w:rFonts w:hint="eastAsia" w:ascii="仿宋" w:hAnsi="仿宋" w:eastAsia="仿宋" w:cs="宋体"/>
          <w:b/>
          <w:bCs/>
          <w:snapToGrid w:val="0"/>
          <w:color w:val="000000"/>
          <w:kern w:val="0"/>
          <w:sz w:val="32"/>
          <w:szCs w:val="32"/>
        </w:rPr>
        <w:t>完善平战结合的社会共治格局。</w:t>
      </w:r>
      <w:r>
        <w:rPr>
          <w:rFonts w:hint="eastAsia" w:ascii="仿宋" w:hAnsi="仿宋" w:eastAsia="仿宋" w:cs="宋体"/>
          <w:bCs/>
          <w:snapToGrid w:val="0"/>
          <w:color w:val="000000"/>
          <w:kern w:val="0"/>
          <w:sz w:val="32"/>
          <w:szCs w:val="32"/>
        </w:rPr>
        <w:t>健全联防联控和平急转换机制，推进“平急两用”公共基础设施建设和管理维护，提升口岸公共卫生核心能力。强化部门协同，落实“同一健康”策略措施。加强村（居）民委员会公共卫生委员会建设，完善疾控部门与城乡社区联动机制。支持学校、托育及养老机构、儿童福利院等重点单位规范设置医疗机构（保健室），配齐专兼职卫生技术人员或保健员。压实医疗机构责任，制定各级各类医疗机构公共卫生责任清单，公立医疗机构设立公共卫生科。择优配备公共卫生相关专业或持有公卫执业资格证书的人员，并将履职情况纳入医院等级评审与绩效考核。施行疾控监督员制度。鼓励支持社会力量参与疾控工作。</w:t>
      </w:r>
    </w:p>
    <w:p w14:paraId="035E1870">
      <w:pPr>
        <w:adjustRightInd w:val="0"/>
        <w:snapToGrid w:val="0"/>
        <w:spacing w:line="360" w:lineRule="auto"/>
        <w:ind w:firstLine="643" w:firstLineChars="200"/>
        <w:rPr>
          <w:rFonts w:ascii="仿宋" w:hAnsi="仿宋" w:eastAsia="仿宋" w:cs="宋体"/>
          <w:bCs/>
          <w:snapToGrid w:val="0"/>
          <w:color w:val="000000"/>
          <w:kern w:val="0"/>
          <w:sz w:val="32"/>
          <w:szCs w:val="32"/>
        </w:rPr>
      </w:pPr>
      <w:r>
        <w:rPr>
          <w:rFonts w:hint="eastAsia" w:ascii="仿宋" w:hAnsi="仿宋" w:eastAsia="仿宋" w:cs="宋体"/>
          <w:b/>
          <w:bCs/>
          <w:snapToGrid w:val="0"/>
          <w:color w:val="000000"/>
          <w:kern w:val="0"/>
          <w:sz w:val="32"/>
          <w:szCs w:val="32"/>
        </w:rPr>
        <w:t>推进疾控体系现代化建设。</w:t>
      </w:r>
      <w:r>
        <w:rPr>
          <w:rFonts w:hint="eastAsia" w:ascii="仿宋" w:hAnsi="仿宋" w:eastAsia="仿宋" w:cs="宋体"/>
          <w:bCs/>
          <w:snapToGrid w:val="0"/>
          <w:color w:val="000000"/>
          <w:kern w:val="0"/>
          <w:sz w:val="32"/>
          <w:szCs w:val="32"/>
        </w:rPr>
        <w:t>明确市、县级疾病预防控制中心职能定位，理顺运行机制，强化传染病防控和卫生监督执法职责。制定疾控机构规范化建设标准，全面提升其在传染病监测预警、检验检测、风险评估、应急处置、传染病救治、公共卫生干预等方面的专业能力。强化上级疾控机构对下级疾控机构的业务领导和工作协同。稳妥有序推进疾控中心与同级卫生监督机构整合工作。实施疾控体系现代化建设工程，推进市域疾控联合体建设，以市疾控中心为龙头，联合县级疾控机构，打破行政壁垒，实现信息和资源共享。加强自治区区域公共卫生检测中心和区域中心实验室建设，支持疾控机构标准化建设，完善传染病医疗服务资源布局。</w:t>
      </w:r>
    </w:p>
    <w:p w14:paraId="5274ADA0">
      <w:pPr>
        <w:adjustRightInd w:val="0"/>
        <w:snapToGrid w:val="0"/>
        <w:spacing w:line="360" w:lineRule="auto"/>
        <w:ind w:firstLine="643" w:firstLineChars="200"/>
        <w:rPr>
          <w:rFonts w:ascii="仿宋" w:hAnsi="仿宋" w:eastAsia="仿宋" w:cs="宋体"/>
          <w:bCs/>
          <w:snapToGrid w:val="0"/>
          <w:color w:val="000000"/>
          <w:kern w:val="0"/>
          <w:sz w:val="32"/>
          <w:szCs w:val="32"/>
        </w:rPr>
      </w:pPr>
      <w:r>
        <w:rPr>
          <w:rFonts w:hint="eastAsia" w:ascii="仿宋" w:hAnsi="仿宋" w:eastAsia="仿宋" w:cs="宋体"/>
          <w:b/>
          <w:bCs/>
          <w:snapToGrid w:val="0"/>
          <w:color w:val="000000"/>
          <w:kern w:val="0"/>
          <w:sz w:val="32"/>
          <w:szCs w:val="32"/>
        </w:rPr>
        <w:t>加强医防协同、医防融合。</w:t>
      </w:r>
      <w:r>
        <w:rPr>
          <w:rFonts w:hint="eastAsia" w:ascii="仿宋" w:hAnsi="仿宋" w:eastAsia="仿宋" w:cs="宋体"/>
          <w:bCs/>
          <w:snapToGrid w:val="0"/>
          <w:color w:val="000000"/>
          <w:kern w:val="0"/>
          <w:sz w:val="32"/>
          <w:szCs w:val="32"/>
        </w:rPr>
        <w:t>推动医疗卫生与疾病预防控制深度融合。依托市公共卫生临床医疗中心，构建医防融合区域性协同平台，深入开展传染病医防协同、医防融合。建立公卫中心与疾控机构、医疗机构之间的信息共享与业务协作机制，实现传染病监测、慢性病管理、电子健康档案等数据互联互通。设立常态化联合培训、人员交流与协同演练制度，提升重大传染病防治与慢性病管理能力。积极应用人工智能与大数据技术，开展健康风险智能评估与预防服务主动推送，探索医院“疫苗健康教育处方”等创新服务模式。构建全市“筛、治、管、防”一体化健康管理体系。</w:t>
      </w:r>
    </w:p>
    <w:p w14:paraId="78E78DA5">
      <w:pPr>
        <w:keepNext/>
        <w:keepLines/>
        <w:autoSpaceDE w:val="0"/>
        <w:autoSpaceDN w:val="0"/>
        <w:spacing w:before="156" w:beforeLines="50" w:line="360" w:lineRule="auto"/>
        <w:ind w:firstLine="643" w:firstLineChars="200"/>
        <w:outlineLvl w:val="1"/>
        <w:rPr>
          <w:rFonts w:ascii="仿宋" w:hAnsi="仿宋" w:eastAsia="仿宋" w:cs="Times New Roman"/>
          <w:b/>
          <w:sz w:val="32"/>
          <w:szCs w:val="32"/>
        </w:rPr>
      </w:pPr>
      <w:bookmarkStart w:id="149" w:name="_Toc235857862"/>
      <w:bookmarkStart w:id="150" w:name="_Toc237847425"/>
      <w:r>
        <w:rPr>
          <w:rFonts w:hint="eastAsia" w:ascii="仿宋" w:hAnsi="仿宋" w:eastAsia="仿宋" w:cs="Times New Roman"/>
          <w:b/>
          <w:sz w:val="32"/>
          <w:szCs w:val="32"/>
        </w:rPr>
        <w:t>（二）全面提升公共卫生核心能力</w:t>
      </w:r>
      <w:bookmarkEnd w:id="149"/>
      <w:bookmarkEnd w:id="150"/>
    </w:p>
    <w:p w14:paraId="7C0B6A37">
      <w:pPr>
        <w:adjustRightInd w:val="0"/>
        <w:snapToGrid w:val="0"/>
        <w:spacing w:line="360" w:lineRule="auto"/>
        <w:ind w:firstLine="643" w:firstLineChars="200"/>
        <w:rPr>
          <w:rFonts w:ascii="仿宋" w:hAnsi="仿宋" w:eastAsia="仿宋" w:cs="宋体"/>
          <w:snapToGrid w:val="0"/>
          <w:color w:val="000000"/>
          <w:kern w:val="0"/>
          <w:sz w:val="32"/>
          <w:szCs w:val="32"/>
        </w:rPr>
      </w:pPr>
      <w:r>
        <w:rPr>
          <w:rFonts w:hint="eastAsia" w:ascii="仿宋" w:hAnsi="仿宋" w:eastAsia="仿宋" w:cs="宋体"/>
          <w:b/>
          <w:bCs/>
          <w:snapToGrid w:val="0"/>
          <w:kern w:val="0"/>
          <w:sz w:val="32"/>
          <w:szCs w:val="32"/>
        </w:rPr>
        <w:t>提升多点触发监测预警能力。</w:t>
      </w:r>
      <w:r>
        <w:rPr>
          <w:rFonts w:hint="eastAsia" w:ascii="仿宋" w:hAnsi="仿宋" w:eastAsia="仿宋" w:cs="宋体"/>
          <w:snapToGrid w:val="0"/>
          <w:color w:val="000000"/>
          <w:kern w:val="0"/>
          <w:sz w:val="32"/>
          <w:szCs w:val="32"/>
        </w:rPr>
        <w:t>提升多点触发早发现能力，全面建成多点触发、反应快速的传染病监测预警体系，完善监测、疫情报告、风险评估、预警和信息公布制度，加强苗头信息综合监测报告管理。完善公共卫生安全线索公众报告机制，建立重大传染病疫情首发首报奖励制度。依法规范做好风险预警和信息对外发布。强化跨部门、跨地域联动协同，实现人、物、环境相关风险因素全链条监测研判分析。加快突破新发突发输入传染病病原检测溯源新技术，提升多病快检、同检能力。</w:t>
      </w:r>
    </w:p>
    <w:p w14:paraId="13B13BDA">
      <w:pPr>
        <w:adjustRightInd w:val="0"/>
        <w:snapToGrid w:val="0"/>
        <w:spacing w:line="360" w:lineRule="auto"/>
        <w:ind w:firstLine="640" w:firstLineChars="200"/>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整合监测资源，以自治区级统筹的区域传染病监测预警与应急指挥平台为支撑，健全以疾控机构为骨干、医疗机构为哨点、基层医疗卫生机构为基础，覆盖交通场站、学校、社区等重点场所的全域监测网络。完善多渠道智能监测，推动监测触角向基层延伸。推广应用国家传染病智能监测预警前置软件，逐步实现基层及民营医疗卫生机构网络直报全覆盖。</w:t>
      </w:r>
    </w:p>
    <w:p w14:paraId="4CC78625">
      <w:pPr>
        <w:adjustRightInd w:val="0"/>
        <w:snapToGrid w:val="0"/>
        <w:spacing w:line="360" w:lineRule="auto"/>
        <w:ind w:firstLine="640" w:firstLineChars="200"/>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落实常态化风险评估和重要疫情专题评估，完善预测预警模型，强化智能辅助决策能力，提升监测预警水平。依托自治区既有算力资源和智慧城市建设成果，完善智慧化多点触发监测预警机制。深化智能模型在疾病传播模拟、重点人群风险预测等场景的本地化应用，提升疫情早期自动识别、预警与精准干预能力，推动公共卫生决策从经验判断向数据驱动转变。</w:t>
      </w:r>
    </w:p>
    <w:p w14:paraId="6440D18D">
      <w:pPr>
        <w:adjustRightInd w:val="0"/>
        <w:snapToGrid w:val="0"/>
        <w:spacing w:line="360" w:lineRule="auto"/>
        <w:ind w:firstLine="643" w:firstLineChars="200"/>
        <w:rPr>
          <w:rFonts w:ascii="仿宋" w:hAnsi="仿宋" w:eastAsia="仿宋" w:cs="宋体"/>
          <w:snapToGrid w:val="0"/>
          <w:color w:val="000000"/>
          <w:kern w:val="0"/>
          <w:sz w:val="32"/>
          <w:szCs w:val="32"/>
        </w:rPr>
      </w:pPr>
      <w:r>
        <w:rPr>
          <w:rFonts w:hint="eastAsia" w:ascii="仿宋" w:hAnsi="仿宋" w:eastAsia="仿宋" w:cs="宋体"/>
          <w:b/>
          <w:bCs/>
          <w:snapToGrid w:val="0"/>
          <w:color w:val="000000"/>
          <w:kern w:val="0"/>
          <w:sz w:val="32"/>
          <w:szCs w:val="32"/>
        </w:rPr>
        <w:t>健全风险评估研判机制。</w:t>
      </w:r>
      <w:r>
        <w:rPr>
          <w:rFonts w:hint="eastAsia" w:ascii="仿宋" w:hAnsi="仿宋" w:eastAsia="仿宋" w:cs="宋体"/>
          <w:snapToGrid w:val="0"/>
          <w:color w:val="000000"/>
          <w:kern w:val="0"/>
          <w:sz w:val="32"/>
          <w:szCs w:val="32"/>
        </w:rPr>
        <w:t>完善常态化风险评估和专题联动风险评估机制，引入人工智能建立完善模型算法，推动市县二级风险评估更加科学化、同质化、精准化。加强评估结果应用，形成重点人群风险画像和地区高发传染病病原谱，探索建立疫情风险指数制度。</w:t>
      </w:r>
    </w:p>
    <w:p w14:paraId="3D27E1FD">
      <w:pPr>
        <w:adjustRightInd w:val="0"/>
        <w:snapToGrid w:val="0"/>
        <w:spacing w:line="360" w:lineRule="auto"/>
        <w:ind w:firstLine="643" w:firstLineChars="200"/>
        <w:rPr>
          <w:rFonts w:ascii="仿宋" w:hAnsi="仿宋" w:eastAsia="仿宋" w:cs="宋体"/>
          <w:snapToGrid w:val="0"/>
          <w:color w:val="000000"/>
          <w:kern w:val="0"/>
          <w:sz w:val="32"/>
          <w:szCs w:val="32"/>
        </w:rPr>
      </w:pPr>
      <w:r>
        <w:rPr>
          <w:rFonts w:hint="eastAsia" w:ascii="仿宋" w:hAnsi="仿宋" w:eastAsia="仿宋" w:cs="宋体"/>
          <w:b/>
          <w:bCs/>
          <w:snapToGrid w:val="0"/>
          <w:color w:val="000000"/>
          <w:kern w:val="0"/>
          <w:sz w:val="32"/>
          <w:szCs w:val="32"/>
        </w:rPr>
        <w:t>提升各级各类实验室检验检测能力和安全水平。</w:t>
      </w:r>
      <w:r>
        <w:rPr>
          <w:rFonts w:hint="eastAsia" w:ascii="仿宋" w:hAnsi="仿宋" w:eastAsia="仿宋" w:cs="宋体"/>
          <w:bCs/>
          <w:snapToGrid w:val="0"/>
          <w:color w:val="000000"/>
          <w:kern w:val="0"/>
          <w:sz w:val="32"/>
          <w:szCs w:val="32"/>
        </w:rPr>
        <w:t>建立健全包括疾控机构、医疗机构、高校、科研院所、农牧部门、海关等所属实验室以及有资质的第三方检验检测机构在内的公共卫生实验室网络。</w:t>
      </w:r>
      <w:r>
        <w:rPr>
          <w:rFonts w:hint="eastAsia" w:ascii="仿宋" w:hAnsi="仿宋" w:eastAsia="仿宋" w:cs="宋体"/>
          <w:snapToGrid w:val="0"/>
          <w:color w:val="000000"/>
          <w:kern w:val="0"/>
          <w:sz w:val="32"/>
          <w:szCs w:val="32"/>
        </w:rPr>
        <w:t>以市级疾控实验室为核心，提升未知病原筛查和基因测序能力。以县级医院和疾控实验室为节点，强化常见病原体检测。依托市疾控中心建设藏东南区域病媒生物实验室，加强病媒生物监测与研究，为媒介传染病防控提供支撑。常规化强化实验室质量控制，不断提升检验检测能力和社会公认度。切实加强病原微生物实验室生物安全管理。</w:t>
      </w:r>
    </w:p>
    <w:p w14:paraId="21B5D1D9">
      <w:pPr>
        <w:adjustRightInd w:val="0"/>
        <w:snapToGrid w:val="0"/>
        <w:spacing w:line="360" w:lineRule="auto"/>
        <w:ind w:firstLine="643" w:firstLineChars="200"/>
        <w:rPr>
          <w:rFonts w:ascii="仿宋" w:hAnsi="仿宋" w:eastAsia="仿宋" w:cs="宋体"/>
          <w:snapToGrid w:val="0"/>
          <w:color w:val="000000"/>
          <w:kern w:val="0"/>
          <w:sz w:val="32"/>
          <w:szCs w:val="32"/>
        </w:rPr>
      </w:pPr>
      <w:r>
        <w:rPr>
          <w:rFonts w:hint="eastAsia" w:ascii="仿宋" w:hAnsi="仿宋" w:eastAsia="仿宋" w:cs="宋体"/>
          <w:b/>
          <w:bCs/>
          <w:snapToGrid w:val="0"/>
          <w:color w:val="000000"/>
          <w:kern w:val="0"/>
          <w:sz w:val="32"/>
          <w:szCs w:val="32"/>
        </w:rPr>
        <w:t>提高分级协同</w:t>
      </w:r>
      <w:r>
        <w:rPr>
          <w:rFonts w:hint="eastAsia" w:ascii="仿宋" w:hAnsi="仿宋" w:eastAsia="仿宋" w:cs="宋体"/>
          <w:b/>
          <w:bCs/>
          <w:snapToGrid w:val="0"/>
          <w:kern w:val="0"/>
          <w:sz w:val="32"/>
          <w:szCs w:val="32"/>
        </w:rPr>
        <w:t>快速</w:t>
      </w:r>
      <w:r>
        <w:rPr>
          <w:rFonts w:hint="eastAsia" w:ascii="仿宋" w:hAnsi="仿宋" w:eastAsia="仿宋" w:cs="宋体"/>
          <w:b/>
          <w:bCs/>
          <w:snapToGrid w:val="0"/>
          <w:color w:val="000000"/>
          <w:kern w:val="0"/>
          <w:sz w:val="32"/>
          <w:szCs w:val="32"/>
        </w:rPr>
        <w:t>处置能力。</w:t>
      </w:r>
      <w:r>
        <w:rPr>
          <w:rFonts w:hint="eastAsia" w:ascii="仿宋" w:hAnsi="仿宋" w:eastAsia="仿宋" w:cs="宋体"/>
          <w:snapToGrid w:val="0"/>
          <w:color w:val="000000"/>
          <w:kern w:val="0"/>
          <w:sz w:val="32"/>
          <w:szCs w:val="32"/>
        </w:rPr>
        <w:t>健全统一高效的应急指挥机制。针对边境实控线长、高山峡谷地形地貌导致地质灾害频发的特点，坚持“平急结合、权责匹配”，完善党政主导、部门联动、军地协同的突发公共卫生事件应急指挥体系。将驻地部队医院纳入全市急救网络，实现统一调度、信息互通。压实乡镇、村居的先期处置责任，确保应急指挥协同高效。</w:t>
      </w:r>
    </w:p>
    <w:p w14:paraId="5296357F">
      <w:pPr>
        <w:adjustRightInd w:val="0"/>
        <w:snapToGrid w:val="0"/>
        <w:spacing w:line="360" w:lineRule="auto"/>
        <w:ind w:firstLine="640" w:firstLineChars="200"/>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完善传染病应急预案体系，强化分级响应和指挥调度机制，探索市级应急物资储备数字化。构建部门联合、区域协同的拉动式演训模式，建设应急实训点。每个县（市、区）配备数字化单兵装备和智能流调系统，实现应急机动快处网络2小时抵达，重点传染病智能监测流调县域全覆盖。实施“应急第一响应人”培养计划，强化基层干部、群众的先期处置技能。广泛普及应急救护知识，推广家庭应急包配备。巩固完善“三公（工）”协同流调机制，组建流调梯队，实现紧急情况下1小时启动、12小时完成第一轮排查。</w:t>
      </w:r>
    </w:p>
    <w:p w14:paraId="4A9DA4C3">
      <w:pPr>
        <w:adjustRightInd w:val="0"/>
        <w:snapToGrid w:val="0"/>
        <w:spacing w:line="360" w:lineRule="auto"/>
        <w:ind w:firstLine="643" w:firstLineChars="200"/>
        <w:rPr>
          <w:rFonts w:ascii="仿宋" w:hAnsi="仿宋" w:eastAsia="仿宋" w:cs="宋体"/>
          <w:bCs/>
          <w:snapToGrid w:val="0"/>
          <w:color w:val="000000"/>
          <w:kern w:val="0"/>
          <w:sz w:val="32"/>
          <w:szCs w:val="32"/>
        </w:rPr>
      </w:pPr>
      <w:r>
        <w:rPr>
          <w:rFonts w:hint="eastAsia" w:ascii="仿宋" w:hAnsi="仿宋" w:eastAsia="仿宋" w:cs="宋体"/>
          <w:b/>
          <w:bCs/>
          <w:snapToGrid w:val="0"/>
          <w:color w:val="000000"/>
          <w:kern w:val="0"/>
          <w:sz w:val="32"/>
          <w:szCs w:val="32"/>
        </w:rPr>
        <w:t>加强血液供应保障能力。</w:t>
      </w:r>
      <w:r>
        <w:rPr>
          <w:rFonts w:hint="eastAsia" w:ascii="仿宋" w:hAnsi="仿宋" w:eastAsia="仿宋" w:cs="宋体"/>
          <w:bCs/>
          <w:snapToGrid w:val="0"/>
          <w:color w:val="000000"/>
          <w:kern w:val="0"/>
          <w:sz w:val="32"/>
          <w:szCs w:val="32"/>
        </w:rPr>
        <w:t>全面加强采供血服务体系能力建设，优化血站关键设施设备配置，加强专业技术人才培养，健全血液应急调配与临床用血安全管理机制，持续完善与区域人口规模、医疗资源分布及临床用血需求相匹配的现代化采供血服务体系，筑牢血液安全供应基础。优化采供血服务网络布局，鼓励医疗机构按照“应设尽设”要求建设院内固定献血点，鼓励其他医疗机构特别是储血点医院设置献血点。深入推进无偿献血宣传动员工作，广泛动员机关、企事业单位、社会组织、乡镇街道等积极参与无偿献血，保障确保血液供需动态平衡。</w:t>
      </w:r>
    </w:p>
    <w:p w14:paraId="7CE7AA51">
      <w:pPr>
        <w:adjustRightInd w:val="0"/>
        <w:snapToGrid w:val="0"/>
        <w:spacing w:line="360" w:lineRule="auto"/>
        <w:ind w:firstLine="643" w:firstLineChars="200"/>
        <w:rPr>
          <w:rFonts w:ascii="仿宋" w:hAnsi="仿宋" w:eastAsia="仿宋" w:cs="Times New Roman"/>
          <w:sz w:val="32"/>
          <w:szCs w:val="32"/>
        </w:rPr>
      </w:pPr>
      <w:r>
        <w:rPr>
          <w:rFonts w:hint="eastAsia" w:ascii="仿宋" w:hAnsi="仿宋" w:eastAsia="仿宋" w:cs="宋体"/>
          <w:b/>
          <w:bCs/>
          <w:snapToGrid w:val="0"/>
          <w:color w:val="000000"/>
          <w:kern w:val="0"/>
          <w:sz w:val="32"/>
          <w:szCs w:val="32"/>
        </w:rPr>
        <w:t>提升医疗救治保障能力。</w:t>
      </w:r>
      <w:r>
        <w:rPr>
          <w:rFonts w:hint="eastAsia" w:ascii="仿宋" w:hAnsi="仿宋" w:eastAsia="仿宋" w:cs="Times New Roman"/>
          <w:sz w:val="32"/>
          <w:szCs w:val="32"/>
        </w:rPr>
        <w:t>完善分级、分层、分流的重大疫情救治网络，构建由公共卫生临床中心</w:t>
      </w:r>
      <w:r>
        <w:rPr>
          <w:rFonts w:hint="eastAsia" w:ascii="MS Mincho" w:hAnsi="MS Mincho" w:eastAsia="MS Mincho" w:cs="MS Mincho"/>
          <w:sz w:val="32"/>
          <w:szCs w:val="32"/>
        </w:rPr>
        <w:t>‌‌</w:t>
      </w:r>
      <w:r>
        <w:rPr>
          <w:rFonts w:hint="eastAsia" w:ascii="仿宋" w:hAnsi="仿宋" w:eastAsia="仿宋" w:cs="仿宋"/>
          <w:sz w:val="32"/>
          <w:szCs w:val="32"/>
        </w:rPr>
        <w:t>、</w:t>
      </w:r>
      <w:r>
        <w:rPr>
          <w:rFonts w:hint="eastAsia" w:ascii="MS Mincho" w:hAnsi="MS Mincho" w:eastAsia="MS Mincho" w:cs="MS Mincho"/>
          <w:sz w:val="32"/>
          <w:szCs w:val="32"/>
        </w:rPr>
        <w:t>‌</w:t>
      </w:r>
      <w:r>
        <w:rPr>
          <w:rFonts w:hint="eastAsia" w:ascii="仿宋" w:hAnsi="仿宋" w:eastAsia="仿宋" w:cs="仿宋"/>
          <w:sz w:val="32"/>
          <w:szCs w:val="32"/>
        </w:rPr>
        <w:t>综合医院</w:t>
      </w:r>
      <w:r>
        <w:rPr>
          <w:rFonts w:hint="eastAsia" w:ascii="MS Mincho" w:hAnsi="MS Mincho" w:eastAsia="MS Mincho" w:cs="MS Mincho"/>
          <w:sz w:val="32"/>
          <w:szCs w:val="32"/>
        </w:rPr>
        <w:t>‌</w:t>
      </w:r>
      <w:r>
        <w:rPr>
          <w:rFonts w:hint="eastAsia" w:ascii="仿宋" w:hAnsi="仿宋" w:eastAsia="仿宋" w:cs="仿宋"/>
          <w:sz w:val="32"/>
          <w:szCs w:val="32"/>
        </w:rPr>
        <w:t>、</w:t>
      </w:r>
      <w:r>
        <w:rPr>
          <w:rFonts w:hint="eastAsia" w:ascii="MS Mincho" w:hAnsi="MS Mincho" w:eastAsia="MS Mincho" w:cs="MS Mincho"/>
          <w:sz w:val="32"/>
          <w:szCs w:val="32"/>
        </w:rPr>
        <w:t>‌</w:t>
      </w:r>
      <w:r>
        <w:rPr>
          <w:rFonts w:hint="eastAsia" w:ascii="仿宋" w:hAnsi="仿宋" w:eastAsia="仿宋" w:cs="仿宋"/>
          <w:sz w:val="32"/>
          <w:szCs w:val="32"/>
        </w:rPr>
        <w:t>藏医医院</w:t>
      </w:r>
      <w:r>
        <w:rPr>
          <w:rFonts w:hint="eastAsia" w:ascii="MS Mincho" w:hAnsi="MS Mincho" w:eastAsia="MS Mincho" w:cs="MS Mincho"/>
          <w:sz w:val="32"/>
          <w:szCs w:val="32"/>
        </w:rPr>
        <w:t>‌</w:t>
      </w:r>
      <w:r>
        <w:rPr>
          <w:rFonts w:hint="eastAsia" w:ascii="仿宋" w:hAnsi="仿宋" w:eastAsia="仿宋" w:cs="仿宋"/>
          <w:sz w:val="32"/>
          <w:szCs w:val="32"/>
        </w:rPr>
        <w:t>、</w:t>
      </w:r>
      <w:r>
        <w:rPr>
          <w:rFonts w:hint="eastAsia" w:ascii="MS Mincho" w:hAnsi="MS Mincho" w:eastAsia="MS Mincho" w:cs="MS Mincho"/>
          <w:sz w:val="32"/>
          <w:szCs w:val="32"/>
        </w:rPr>
        <w:t>‌</w:t>
      </w:r>
      <w:r>
        <w:rPr>
          <w:rFonts w:hint="eastAsia" w:ascii="仿宋" w:hAnsi="仿宋" w:eastAsia="仿宋" w:cs="仿宋"/>
          <w:sz w:val="32"/>
          <w:szCs w:val="32"/>
        </w:rPr>
        <w:t>院前急救机构</w:t>
      </w:r>
      <w:r>
        <w:rPr>
          <w:rFonts w:hint="eastAsia" w:ascii="MS Mincho" w:hAnsi="MS Mincho" w:eastAsia="MS Mincho" w:cs="MS Mincho"/>
          <w:sz w:val="32"/>
          <w:szCs w:val="32"/>
        </w:rPr>
        <w:t>‌</w:t>
      </w:r>
      <w:r>
        <w:rPr>
          <w:rFonts w:hint="eastAsia" w:ascii="仿宋" w:hAnsi="仿宋" w:eastAsia="仿宋" w:cs="仿宋"/>
          <w:sz w:val="32"/>
          <w:szCs w:val="32"/>
        </w:rPr>
        <w:t>、</w:t>
      </w:r>
      <w:r>
        <w:rPr>
          <w:rFonts w:hint="eastAsia" w:ascii="MS Mincho" w:hAnsi="MS Mincho" w:eastAsia="MS Mincho" w:cs="MS Mincho"/>
          <w:sz w:val="32"/>
          <w:szCs w:val="32"/>
        </w:rPr>
        <w:t>‌</w:t>
      </w:r>
      <w:r>
        <w:rPr>
          <w:rFonts w:hint="eastAsia" w:ascii="仿宋" w:hAnsi="仿宋" w:eastAsia="仿宋" w:cs="仿宋"/>
          <w:sz w:val="32"/>
          <w:szCs w:val="32"/>
        </w:rPr>
        <w:t>临时性救治场所</w:t>
      </w:r>
      <w:r>
        <w:rPr>
          <w:rFonts w:hint="eastAsia" w:ascii="MS Mincho" w:hAnsi="MS Mincho" w:eastAsia="MS Mincho" w:cs="MS Mincho"/>
          <w:sz w:val="32"/>
          <w:szCs w:val="32"/>
        </w:rPr>
        <w:t>‌</w:t>
      </w:r>
      <w:r>
        <w:rPr>
          <w:rFonts w:hint="eastAsia" w:ascii="仿宋" w:hAnsi="仿宋" w:eastAsia="仿宋" w:cs="仿宋"/>
          <w:sz w:val="32"/>
          <w:szCs w:val="32"/>
        </w:rPr>
        <w:t>及</w:t>
      </w:r>
      <w:r>
        <w:rPr>
          <w:rFonts w:hint="eastAsia" w:ascii="MS Mincho" w:hAnsi="MS Mincho" w:eastAsia="MS Mincho" w:cs="MS Mincho"/>
          <w:sz w:val="32"/>
          <w:szCs w:val="32"/>
        </w:rPr>
        <w:t>‌</w:t>
      </w:r>
      <w:r>
        <w:rPr>
          <w:rFonts w:hint="eastAsia" w:ascii="仿宋" w:hAnsi="仿宋" w:eastAsia="仿宋" w:cs="仿宋"/>
          <w:sz w:val="32"/>
          <w:szCs w:val="32"/>
        </w:rPr>
        <w:t>基层医疗卫生机构</w:t>
      </w:r>
      <w:r>
        <w:rPr>
          <w:rFonts w:hint="eastAsia" w:ascii="MS Mincho" w:hAnsi="MS Mincho" w:eastAsia="MS Mincho" w:cs="MS Mincho"/>
          <w:sz w:val="32"/>
          <w:szCs w:val="32"/>
        </w:rPr>
        <w:t>‌</w:t>
      </w:r>
      <w:r>
        <w:rPr>
          <w:rFonts w:hint="eastAsia" w:ascii="仿宋" w:hAnsi="仿宋" w:eastAsia="仿宋" w:cs="仿宋"/>
          <w:sz w:val="32"/>
          <w:szCs w:val="32"/>
        </w:rPr>
        <w:t>组成的综合医疗救治体系。分类救治患者，轻症在基层，重症在定点医院或救治基地</w:t>
      </w:r>
      <w:r>
        <w:rPr>
          <w:rFonts w:hint="eastAsia" w:ascii="仿宋" w:hAnsi="仿宋" w:eastAsia="仿宋" w:cs="Times New Roman"/>
          <w:sz w:val="32"/>
          <w:szCs w:val="32"/>
        </w:rPr>
        <w:t>。坚持中（藏）西医结合，加强传染病规范治疗。推动传染病重症救治中心建设，高水平运行市公共卫生临床中心。各县区重点提升区域内高发传染病、新发突发输入传染病综合诊疗救治能力。建强县级医院感染性疾病科和传染病病区。支持在医疗机构中合理配置平急转化传染病救治床位等资源。优化设置艾滋病、结核病等重大传染病病区，探索设立诊疗分中心，建立“固定+巡回”工作机制。统筹衔接基本医疗保障和公共卫生项目，推动符合条件的传染病诊疗相关费用纳入医保报销范围。</w:t>
      </w:r>
    </w:p>
    <w:p w14:paraId="26B2600B">
      <w:pPr>
        <w:keepNext/>
        <w:keepLines/>
        <w:autoSpaceDE w:val="0"/>
        <w:autoSpaceDN w:val="0"/>
        <w:spacing w:before="156" w:beforeLines="50" w:line="360" w:lineRule="auto"/>
        <w:ind w:firstLine="643" w:firstLineChars="200"/>
        <w:outlineLvl w:val="1"/>
        <w:rPr>
          <w:rFonts w:ascii="仿宋" w:hAnsi="仿宋" w:eastAsia="仿宋" w:cs="Times New Roman"/>
          <w:b/>
          <w:sz w:val="32"/>
          <w:szCs w:val="32"/>
        </w:rPr>
      </w:pPr>
      <w:bookmarkStart w:id="151" w:name="_Toc235857863"/>
      <w:bookmarkStart w:id="152" w:name="_Toc237847426"/>
      <w:r>
        <w:rPr>
          <w:rFonts w:hint="eastAsia" w:ascii="仿宋" w:hAnsi="仿宋" w:eastAsia="仿宋" w:cs="Times New Roman"/>
          <w:b/>
          <w:sz w:val="32"/>
          <w:szCs w:val="32"/>
        </w:rPr>
        <w:t>（三）强化疾病精准防控</w:t>
      </w:r>
      <w:bookmarkEnd w:id="151"/>
      <w:bookmarkEnd w:id="152"/>
    </w:p>
    <w:p w14:paraId="7F49325A">
      <w:pPr>
        <w:adjustRightInd w:val="0"/>
        <w:snapToGrid w:val="0"/>
        <w:spacing w:line="360" w:lineRule="auto"/>
        <w:ind w:firstLine="643" w:firstLineChars="200"/>
        <w:rPr>
          <w:rFonts w:ascii="仿宋" w:hAnsi="仿宋" w:eastAsia="仿宋" w:cs="宋体"/>
          <w:bCs/>
          <w:snapToGrid w:val="0"/>
          <w:color w:val="000000"/>
          <w:kern w:val="0"/>
          <w:sz w:val="32"/>
          <w:szCs w:val="32"/>
        </w:rPr>
      </w:pPr>
      <w:r>
        <w:rPr>
          <w:rFonts w:hint="eastAsia" w:ascii="仿宋" w:hAnsi="仿宋" w:eastAsia="仿宋" w:cs="宋体"/>
          <w:b/>
          <w:bCs/>
          <w:snapToGrid w:val="0"/>
          <w:color w:val="000000"/>
          <w:kern w:val="0"/>
          <w:sz w:val="32"/>
          <w:szCs w:val="32"/>
        </w:rPr>
        <w:t>实施重点疾病精准防控。</w:t>
      </w:r>
      <w:r>
        <w:rPr>
          <w:rFonts w:hint="eastAsia" w:ascii="仿宋" w:hAnsi="仿宋" w:eastAsia="仿宋" w:cs="宋体"/>
          <w:bCs/>
          <w:snapToGrid w:val="0"/>
          <w:color w:val="000000"/>
          <w:kern w:val="0"/>
          <w:sz w:val="32"/>
          <w:szCs w:val="32"/>
        </w:rPr>
        <w:t>根据疾病谱确定区域常见病，</w:t>
      </w:r>
      <w:r>
        <w:rPr>
          <w:rFonts w:hint="eastAsia" w:ascii="仿宋" w:hAnsi="仿宋" w:eastAsia="仿宋" w:cs="Times New Roman"/>
          <w:sz w:val="32"/>
          <w:szCs w:val="32"/>
        </w:rPr>
        <w:t>优化“常见+重点”多病精准防控。实施呼吸道传染病防控行动，优化新冠、流感等重点呼吸道传染病监测哨点布局，落实多病同防、一样本多检测工作模式。强化呼吸道、肠道等常见急性传染病防控，提升人群免疫水平，加强重点场所、重点人群管理。强化重大传染病综合防治，落实好艾滋病、结核病等防治行动计划。持续推进消除艾滋病、梅毒、乙肝母婴传播。深化性病、艾滋病等经性传播传染病多病同防工作。建立传染病共筛共管共控共研机制，加强新发突发输入传染病防控，提升早发现率和有效处置率，有效控制甲乙类法定报告传染病发病率。</w:t>
      </w:r>
      <w:r>
        <w:rPr>
          <w:rFonts w:hint="eastAsia" w:ascii="仿宋" w:hAnsi="仿宋" w:eastAsia="仿宋" w:cs="宋体"/>
          <w:bCs/>
          <w:snapToGrid w:val="0"/>
          <w:color w:val="000000"/>
          <w:kern w:val="0"/>
          <w:sz w:val="32"/>
          <w:szCs w:val="32"/>
        </w:rPr>
        <w:t>巩固地方病防控成果，完善地方病病例筛查和管理体系，动态掌握地方病发病情况，加强包虫病、大骨节病等地方病监测评估，持续推广普及低氟砖茶，保持消除大骨节病、碘缺乏病危害状态，稳定控制饮水型地方性氟中毒危害水平。</w:t>
      </w:r>
    </w:p>
    <w:p w14:paraId="67593B62">
      <w:pPr>
        <w:adjustRightInd w:val="0"/>
        <w:snapToGrid w:val="0"/>
        <w:spacing w:line="360" w:lineRule="auto"/>
        <w:ind w:firstLine="643" w:firstLineChars="200"/>
        <w:rPr>
          <w:rFonts w:ascii="仿宋" w:hAnsi="仿宋" w:eastAsia="仿宋" w:cs="Times New Roman"/>
          <w:sz w:val="32"/>
          <w:szCs w:val="32"/>
        </w:rPr>
      </w:pPr>
      <w:r>
        <w:rPr>
          <w:rFonts w:hint="eastAsia" w:ascii="仿宋" w:hAnsi="仿宋" w:eastAsia="仿宋" w:cs="宋体"/>
          <w:b/>
          <w:bCs/>
          <w:snapToGrid w:val="0"/>
          <w:color w:val="000000"/>
          <w:kern w:val="0"/>
          <w:sz w:val="32"/>
          <w:szCs w:val="32"/>
        </w:rPr>
        <w:t>做好虫媒传染病防控。</w:t>
      </w:r>
      <w:r>
        <w:rPr>
          <w:rFonts w:hint="eastAsia" w:ascii="仿宋" w:hAnsi="仿宋" w:eastAsia="仿宋" w:cs="Times New Roman"/>
          <w:sz w:val="32"/>
          <w:szCs w:val="32"/>
        </w:rPr>
        <w:t>强化病媒生物监测，持续做好登革热、基孔肯雅热、流行性出血热、发热伴血小板减少综合征、疟疾和乙脑等重点虫媒传染病防控工作。发挥爱国卫生机制作用，落实综合防制策略，降低虫媒传染病发生和传播风险。做好对外交通节点（机场、铁路车站等）和察隅、墨脱主要实控节点的常态化防控，加强卫生检疫，有效防范病媒生物输入风险和本地疫情传播扩散。</w:t>
      </w:r>
    </w:p>
    <w:p w14:paraId="3E550944">
      <w:pPr>
        <w:adjustRightInd w:val="0"/>
        <w:snapToGrid w:val="0"/>
        <w:spacing w:line="360" w:lineRule="auto"/>
        <w:ind w:firstLine="643" w:firstLineChars="200"/>
        <w:rPr>
          <w:rFonts w:ascii="仿宋" w:hAnsi="仿宋" w:eastAsia="仿宋" w:cs="宋体"/>
          <w:bCs/>
          <w:snapToGrid w:val="0"/>
          <w:color w:val="000000"/>
          <w:kern w:val="0"/>
          <w:sz w:val="32"/>
          <w:szCs w:val="32"/>
        </w:rPr>
      </w:pPr>
      <w:r>
        <w:rPr>
          <w:rFonts w:hint="eastAsia" w:ascii="仿宋" w:hAnsi="仿宋" w:eastAsia="仿宋" w:cs="宋体"/>
          <w:b/>
          <w:bCs/>
          <w:snapToGrid w:val="0"/>
          <w:color w:val="000000"/>
          <w:kern w:val="0"/>
          <w:sz w:val="32"/>
          <w:szCs w:val="32"/>
        </w:rPr>
        <w:t>做好人畜共患传染病防控。</w:t>
      </w:r>
      <w:r>
        <w:rPr>
          <w:rFonts w:hint="eastAsia" w:ascii="仿宋" w:hAnsi="仿宋" w:eastAsia="仿宋" w:cs="宋体"/>
          <w:bCs/>
          <w:snapToGrid w:val="0"/>
          <w:color w:val="000000"/>
          <w:kern w:val="0"/>
          <w:sz w:val="32"/>
          <w:szCs w:val="32"/>
        </w:rPr>
        <w:t>实施</w:t>
      </w:r>
      <w:r>
        <w:rPr>
          <w:rFonts w:hint="eastAsia" w:ascii="仿宋" w:hAnsi="仿宋" w:eastAsia="仿宋" w:cs="宋体"/>
          <w:bCs/>
          <w:snapToGrid w:val="0"/>
          <w:kern w:val="0"/>
          <w:sz w:val="32"/>
          <w:szCs w:val="32"/>
        </w:rPr>
        <w:t>人畜共患传染病</w:t>
      </w:r>
      <w:r>
        <w:rPr>
          <w:rFonts w:hint="eastAsia" w:ascii="仿宋" w:hAnsi="仿宋" w:eastAsia="仿宋" w:cs="宋体"/>
          <w:bCs/>
          <w:snapToGrid w:val="0"/>
          <w:color w:val="000000"/>
          <w:kern w:val="0"/>
          <w:sz w:val="32"/>
          <w:szCs w:val="32"/>
        </w:rPr>
        <w:t>防控行动，发挥部门间防治协作机制作用，强化部门联动和源头管控，协同开展疫情监测处置、职业人群健康教育和高风险人群行为干预等工作，有效预防和控制包虫病、鼠疫、旋毛虫病</w:t>
      </w:r>
      <w:r>
        <w:rPr>
          <w:rFonts w:hint="eastAsia" w:ascii="MS Mincho" w:hAnsi="MS Mincho" w:eastAsia="MS Mincho" w:cs="MS Mincho"/>
          <w:bCs/>
          <w:snapToGrid w:val="0"/>
          <w:color w:val="000000"/>
          <w:kern w:val="0"/>
          <w:sz w:val="32"/>
          <w:szCs w:val="32"/>
        </w:rPr>
        <w:t>‌、</w:t>
      </w:r>
      <w:r>
        <w:rPr>
          <w:rFonts w:hint="eastAsia" w:ascii="仿宋" w:hAnsi="仿宋" w:eastAsia="仿宋" w:cs="宋体"/>
          <w:bCs/>
          <w:snapToGrid w:val="0"/>
          <w:color w:val="000000"/>
          <w:kern w:val="0"/>
          <w:sz w:val="32"/>
          <w:szCs w:val="32"/>
        </w:rPr>
        <w:t>人感染新亚型流感、狂犬病等。</w:t>
      </w:r>
    </w:p>
    <w:p w14:paraId="5BFA1917">
      <w:pPr>
        <w:adjustRightInd w:val="0"/>
        <w:snapToGrid w:val="0"/>
        <w:spacing w:line="360" w:lineRule="auto"/>
        <w:ind w:firstLine="643" w:firstLineChars="200"/>
        <w:rPr>
          <w:rFonts w:ascii="仿宋" w:hAnsi="仿宋" w:eastAsia="仿宋" w:cs="宋体"/>
          <w:bCs/>
          <w:snapToGrid w:val="0"/>
          <w:color w:val="000000"/>
          <w:kern w:val="0"/>
          <w:sz w:val="32"/>
          <w:szCs w:val="32"/>
        </w:rPr>
      </w:pPr>
      <w:r>
        <w:rPr>
          <w:rFonts w:hint="eastAsia" w:ascii="仿宋" w:hAnsi="仿宋" w:eastAsia="仿宋" w:cs="宋体"/>
          <w:b/>
          <w:bCs/>
          <w:snapToGrid w:val="0"/>
          <w:color w:val="000000"/>
          <w:kern w:val="0"/>
          <w:sz w:val="32"/>
          <w:szCs w:val="32"/>
        </w:rPr>
        <w:t>优化免疫规划服务供给。</w:t>
      </w:r>
      <w:r>
        <w:rPr>
          <w:rFonts w:hint="eastAsia" w:ascii="仿宋" w:hAnsi="仿宋" w:eastAsia="仿宋" w:cs="宋体"/>
          <w:bCs/>
          <w:snapToGrid w:val="0"/>
          <w:color w:val="000000"/>
          <w:kern w:val="0"/>
          <w:sz w:val="32"/>
          <w:szCs w:val="32"/>
        </w:rPr>
        <w:t>持续巩固并扩大免疫规划成果，确保适龄儿童国家免疫规划疫苗接种率维持在较高水平。实施重点人群免疫策略优化行动，提高接种覆盖率和重点人群免疫水平。有序扩大接种服务供给，推动二级医院开展疫苗接种服务。加强基层数字化、规范化、便捷化预防接种门诊建设。全面推行电子预防接种证应用，实现预防接种信息跨地区共享。加强疫苗供需衔接，做好疫苗供应保障。实施全民免疫与预防接种健康促进行动。强化疫苗接种科普宣传与健康教育，提高公众对疫苗的科学认知与接种意愿，研究多途径减轻群众疫苗接种经济负担，切实筑牢全人群免疫屏障。</w:t>
      </w:r>
    </w:p>
    <w:p w14:paraId="02CB58CA">
      <w:pPr>
        <w:adjustRightInd w:val="0"/>
        <w:snapToGrid w:val="0"/>
        <w:spacing w:line="360" w:lineRule="auto"/>
        <w:ind w:firstLine="643" w:firstLineChars="200"/>
        <w:rPr>
          <w:rFonts w:ascii="仿宋" w:hAnsi="仿宋" w:eastAsia="仿宋" w:cs="宋体"/>
          <w:bCs/>
          <w:snapToGrid w:val="0"/>
          <w:color w:val="000000"/>
          <w:kern w:val="0"/>
          <w:sz w:val="32"/>
          <w:szCs w:val="32"/>
        </w:rPr>
      </w:pPr>
      <w:r>
        <w:rPr>
          <w:rFonts w:hint="eastAsia" w:ascii="仿宋" w:hAnsi="仿宋" w:eastAsia="仿宋" w:cs="宋体"/>
          <w:b/>
          <w:bCs/>
          <w:snapToGrid w:val="0"/>
          <w:color w:val="000000"/>
          <w:kern w:val="0"/>
          <w:sz w:val="32"/>
          <w:szCs w:val="32"/>
        </w:rPr>
        <w:t>提升公共卫生监测干预能力。</w:t>
      </w:r>
      <w:r>
        <w:rPr>
          <w:rFonts w:hint="eastAsia" w:ascii="仿宋" w:hAnsi="仿宋" w:eastAsia="仿宋" w:cs="宋体"/>
          <w:bCs/>
          <w:snapToGrid w:val="0"/>
          <w:kern w:val="0"/>
          <w:sz w:val="32"/>
          <w:szCs w:val="32"/>
        </w:rPr>
        <w:t>推进健康环境建设，开展重点区域生态环境健康风险评估，实施气候变化健康适应行动，</w:t>
      </w:r>
      <w:r>
        <w:rPr>
          <w:rFonts w:hint="eastAsia" w:ascii="仿宋" w:hAnsi="仿宋" w:eastAsia="仿宋" w:cs="宋体"/>
          <w:bCs/>
          <w:snapToGrid w:val="0"/>
          <w:color w:val="000000"/>
          <w:kern w:val="0"/>
          <w:sz w:val="32"/>
          <w:szCs w:val="32"/>
        </w:rPr>
        <w:t>多措并举提升饮用水水质监测工作质量。完善环境健康综合监测网络体系和风险预警平台，建立健全环境健康风险评估制度。</w:t>
      </w:r>
      <w:r>
        <w:rPr>
          <w:rFonts w:hint="eastAsia" w:ascii="仿宋" w:hAnsi="仿宋" w:eastAsia="仿宋" w:cs="宋体"/>
          <w:bCs/>
          <w:snapToGrid w:val="0"/>
          <w:kern w:val="0"/>
          <w:sz w:val="32"/>
          <w:szCs w:val="32"/>
        </w:rPr>
        <w:t>加强职业卫生、放射卫生、食品安全风险、伤害监测、健康危害因素监测和干预，实现市县二级疾控中心健康危害因素监测系统全覆盖。开展重点人群职业健康干预服务和职业健康保护行动。</w:t>
      </w:r>
      <w:r>
        <w:rPr>
          <w:rFonts w:hint="eastAsia" w:ascii="仿宋" w:hAnsi="仿宋" w:eastAsia="仿宋" w:cs="宋体"/>
          <w:bCs/>
          <w:snapToGrid w:val="0"/>
          <w:color w:val="000000"/>
          <w:kern w:val="0"/>
          <w:sz w:val="32"/>
          <w:szCs w:val="32"/>
        </w:rPr>
        <w:t>开展儿童青少年“五健”促进行动，加强学生常见病和传染病防治。实施伤害预防控制行动，探索推广适宜技术。系统推进高血压、心脑血管疾病等重大慢性病危险因素控制，健全早筛、早诊、早康体系，发展防治康管全链条服务，控制慢性病危害。</w:t>
      </w:r>
    </w:p>
    <w:p w14:paraId="6735F506">
      <w:pPr>
        <w:adjustRightInd w:val="0"/>
        <w:snapToGrid w:val="0"/>
        <w:spacing w:line="360" w:lineRule="auto"/>
        <w:ind w:firstLine="640" w:firstLineChars="200"/>
        <w:rPr>
          <w:rFonts w:ascii="仿宋" w:hAnsi="仿宋" w:eastAsia="仿宋" w:cs="宋体"/>
          <w:bCs/>
          <w:snapToGrid w:val="0"/>
          <w:color w:val="FF0000"/>
          <w:kern w:val="0"/>
          <w:sz w:val="32"/>
          <w:szCs w:val="32"/>
        </w:rPr>
      </w:pPr>
      <w:r>
        <w:rPr>
          <w:rFonts w:hint="eastAsia" w:ascii="仿宋" w:hAnsi="仿宋" w:eastAsia="仿宋" w:cs="宋体"/>
          <w:bCs/>
          <w:snapToGrid w:val="0"/>
          <w:color w:val="000000"/>
          <w:kern w:val="0"/>
          <w:sz w:val="32"/>
          <w:szCs w:val="32"/>
        </w:rPr>
        <w:t>应</w:t>
      </w:r>
      <w:r>
        <w:rPr>
          <w:rFonts w:hint="eastAsia" w:ascii="仿宋" w:hAnsi="仿宋" w:eastAsia="仿宋" w:cs="宋体"/>
          <w:bCs/>
          <w:snapToGrid w:val="0"/>
          <w:color w:val="000000" w:themeColor="text1"/>
          <w:kern w:val="0"/>
          <w:sz w:val="32"/>
          <w:szCs w:val="32"/>
          <w14:textFill>
            <w14:solidFill>
              <w14:schemeClr w14:val="tx1"/>
            </w14:solidFill>
          </w14:textFill>
        </w:rPr>
        <w:t>对‌从</w:t>
      </w:r>
      <w:r>
        <w:rPr>
          <w:rFonts w:hint="eastAsia" w:ascii="仿宋" w:hAnsi="仿宋" w:eastAsia="仿宋" w:cs="仿宋"/>
          <w:bCs/>
          <w:snapToGrid w:val="0"/>
          <w:color w:val="000000"/>
          <w:kern w:val="0"/>
          <w:sz w:val="32"/>
          <w:szCs w:val="32"/>
        </w:rPr>
        <w:t>生产到餐桌的生物性、化学性、物理性</w:t>
      </w:r>
      <w:r>
        <w:rPr>
          <w:rFonts w:hint="eastAsia" w:ascii="MS Mincho" w:hAnsi="MS Mincho" w:eastAsia="MS Mincho" w:cs="MS Mincho"/>
          <w:bCs/>
          <w:snapToGrid w:val="0"/>
          <w:color w:val="000000"/>
          <w:kern w:val="0"/>
          <w:sz w:val="32"/>
          <w:szCs w:val="32"/>
        </w:rPr>
        <w:t>‌</w:t>
      </w:r>
      <w:r>
        <w:rPr>
          <w:rFonts w:hint="eastAsia" w:ascii="仿宋" w:hAnsi="仿宋" w:eastAsia="仿宋" w:cs="仿宋"/>
          <w:bCs/>
          <w:snapToGrid w:val="0"/>
          <w:color w:val="000000"/>
          <w:kern w:val="0"/>
          <w:sz w:val="32"/>
          <w:szCs w:val="32"/>
        </w:rPr>
        <w:t>三大类</w:t>
      </w:r>
      <w:r>
        <w:rPr>
          <w:rFonts w:hint="eastAsia" w:ascii="仿宋" w:hAnsi="仿宋" w:eastAsia="仿宋" w:cs="宋体"/>
          <w:bCs/>
          <w:snapToGrid w:val="0"/>
          <w:color w:val="000000"/>
          <w:kern w:val="0"/>
          <w:sz w:val="32"/>
          <w:szCs w:val="32"/>
        </w:rPr>
        <w:t>食品安全风险</w:t>
      </w:r>
      <w:r>
        <w:rPr>
          <w:rFonts w:hint="eastAsia" w:ascii="仿宋" w:hAnsi="仿宋" w:eastAsia="仿宋" w:cs="仿宋"/>
          <w:bCs/>
          <w:snapToGrid w:val="0"/>
          <w:color w:val="000000"/>
          <w:kern w:val="0"/>
          <w:sz w:val="32"/>
          <w:szCs w:val="32"/>
        </w:rPr>
        <w:t>，</w:t>
      </w:r>
      <w:r>
        <w:rPr>
          <w:rFonts w:hint="eastAsia" w:ascii="仿宋" w:hAnsi="仿宋" w:eastAsia="仿宋" w:cs="宋体"/>
          <w:bCs/>
          <w:snapToGrid w:val="0"/>
          <w:color w:val="000000"/>
          <w:kern w:val="0"/>
          <w:sz w:val="32"/>
          <w:szCs w:val="32"/>
        </w:rPr>
        <w:t>着力构建现代化食品安全风险监测评估体系，一体化推进传染病与食源性疾病智能监测预警信息平台互联互通。全面提升基层食源性疾病监测报告、流行病学调查和综合处置能力。健全覆盖各级医疗机构和疾控机构的食源性疾病监测报告体系，提升病例信息报告的及时性和准确性。提升溯源调查能力，加强疾控机构食源性疾病病原学检测和分子分型溯源能力建设，提升暴发疫情快速查明原因、控制风险的能力。建立与市场监管等部门的信息通报和协同处置机制，定期开展风险监测和评估。</w:t>
      </w:r>
      <w:r>
        <w:rPr>
          <w:rFonts w:hint="eastAsia" w:ascii="仿宋" w:hAnsi="仿宋" w:eastAsia="仿宋" w:cs="宋体"/>
          <w:bCs/>
          <w:snapToGrid w:val="0"/>
          <w:kern w:val="0"/>
          <w:sz w:val="32"/>
          <w:szCs w:val="32"/>
        </w:rPr>
        <w:t>强化营养与慢性病监测和流行病学调查、综合防控干预策略与措施指导、防控效果评价，构建营养风险地图。</w:t>
      </w:r>
      <w:r>
        <w:rPr>
          <w:rFonts w:hint="eastAsia" w:ascii="仿宋" w:hAnsi="仿宋" w:eastAsia="仿宋" w:cs="宋体"/>
          <w:bCs/>
          <w:snapToGrid w:val="0"/>
          <w:color w:val="FF0000"/>
          <w:kern w:val="0"/>
          <w:sz w:val="32"/>
          <w:szCs w:val="32"/>
        </w:rPr>
        <w:t xml:space="preserve"> </w:t>
      </w:r>
    </w:p>
    <w:p w14:paraId="279BAFB4">
      <w:pPr>
        <w:keepNext/>
        <w:keepLines/>
        <w:autoSpaceDE w:val="0"/>
        <w:autoSpaceDN w:val="0"/>
        <w:spacing w:before="156" w:beforeLines="50" w:line="360" w:lineRule="auto"/>
        <w:ind w:firstLine="643" w:firstLineChars="200"/>
        <w:outlineLvl w:val="1"/>
        <w:rPr>
          <w:rFonts w:ascii="仿宋" w:hAnsi="仿宋" w:eastAsia="仿宋" w:cs="Times New Roman"/>
          <w:b/>
          <w:color w:val="FF0000"/>
          <w:sz w:val="32"/>
          <w:szCs w:val="32"/>
        </w:rPr>
      </w:pPr>
      <w:bookmarkStart w:id="153" w:name="_Toc235857864"/>
      <w:bookmarkStart w:id="154" w:name="_Toc237847427"/>
      <w:r>
        <w:rPr>
          <w:rFonts w:hint="eastAsia" w:ascii="仿宋" w:hAnsi="仿宋" w:eastAsia="仿宋" w:cs="Times New Roman"/>
          <w:b/>
          <w:sz w:val="32"/>
          <w:szCs w:val="32"/>
        </w:rPr>
        <w:t>（四）构建市县二级卫生监督体系</w:t>
      </w:r>
      <w:bookmarkEnd w:id="153"/>
      <w:bookmarkEnd w:id="154"/>
    </w:p>
    <w:p w14:paraId="49ABADF5">
      <w:pPr>
        <w:adjustRightInd w:val="0"/>
        <w:snapToGrid w:val="0"/>
        <w:spacing w:line="360" w:lineRule="auto"/>
        <w:ind w:firstLine="643" w:firstLineChars="200"/>
        <w:rPr>
          <w:rFonts w:ascii="仿宋" w:hAnsi="仿宋" w:eastAsia="仿宋" w:cs="宋体"/>
          <w:bCs/>
          <w:snapToGrid w:val="0"/>
          <w:color w:val="000000"/>
          <w:kern w:val="0"/>
          <w:sz w:val="32"/>
          <w:szCs w:val="32"/>
        </w:rPr>
      </w:pPr>
      <w:r>
        <w:rPr>
          <w:rFonts w:hint="eastAsia" w:ascii="仿宋" w:hAnsi="仿宋" w:eastAsia="仿宋" w:cs="宋体"/>
          <w:b/>
          <w:bCs/>
          <w:snapToGrid w:val="0"/>
          <w:color w:val="000000"/>
          <w:kern w:val="0"/>
          <w:sz w:val="32"/>
          <w:szCs w:val="32"/>
        </w:rPr>
        <w:t>规范卫生监督执法工作。</w:t>
      </w:r>
      <w:r>
        <w:rPr>
          <w:rFonts w:hint="eastAsia" w:ascii="仿宋" w:hAnsi="仿宋" w:eastAsia="仿宋" w:cs="宋体"/>
          <w:bCs/>
          <w:snapToGrid w:val="0"/>
          <w:color w:val="000000"/>
          <w:kern w:val="0"/>
          <w:sz w:val="32"/>
          <w:szCs w:val="32"/>
        </w:rPr>
        <w:t>优化健全卫生健康行政执法体系，专兼结合积极健全卫生监督领域执法机构，健全信用监管机制，采取分级分类监管、“双随机、一公开”监管、重点领域监管等方式，提升监管效能。动态完善行政处罚裁量权基准制度，细化并严格落实应当或可以不予、减轻、从轻行政处罚等标准，健全执法服务并重模式。高质量完成国家随机监督抽查任务。疾控监管全领域推行合规建设，建立合规指导机制，引导企业主动化解风险。全面规范涉企行政检查，严格落实行政执法“三项制度”和“三书同达”机制，深化案卷评查制度。规范疾控监管领域行政审批和备案工作，简化流程，提升效能。迭代升级“数智卫监”系统，探索“人工智能+”应用场景建设，延伸非现场监管覆盖领域和事项。推动疾控技术与监督执法业务深度协同，实现信息互通、执法与监测联动。</w:t>
      </w:r>
    </w:p>
    <w:tbl>
      <w:tblPr>
        <w:tblStyle w:val="6"/>
        <w:tblW w:w="8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ECFF"/>
        <w:tblLayout w:type="fixed"/>
        <w:tblCellMar>
          <w:top w:w="0" w:type="dxa"/>
          <w:left w:w="108" w:type="dxa"/>
          <w:bottom w:w="0" w:type="dxa"/>
          <w:right w:w="108" w:type="dxa"/>
        </w:tblCellMar>
      </w:tblPr>
      <w:tblGrid>
        <w:gridCol w:w="8758"/>
      </w:tblGrid>
      <w:tr w14:paraId="5E10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ECFF"/>
          <w:tblCellMar>
            <w:top w:w="0" w:type="dxa"/>
            <w:left w:w="108" w:type="dxa"/>
            <w:bottom w:w="0" w:type="dxa"/>
            <w:right w:w="108" w:type="dxa"/>
          </w:tblCellMar>
        </w:tblPrEx>
        <w:trPr>
          <w:trHeight w:val="443" w:hRule="atLeast"/>
          <w:jc w:val="center"/>
        </w:trPr>
        <w:tc>
          <w:tcPr>
            <w:tcW w:w="8758" w:type="dxa"/>
            <w:tcBorders>
              <w:top w:val="single" w:color="auto" w:sz="4" w:space="0"/>
              <w:left w:val="single" w:color="auto" w:sz="4" w:space="0"/>
              <w:bottom w:val="single" w:color="auto" w:sz="4" w:space="0"/>
              <w:right w:val="single" w:color="auto" w:sz="4" w:space="0"/>
            </w:tcBorders>
            <w:shd w:val="clear" w:color="auto" w:fill="C6D9F1"/>
          </w:tcPr>
          <w:p w14:paraId="2C972A8B">
            <w:pPr>
              <w:spacing w:line="400" w:lineRule="exact"/>
              <w:jc w:val="center"/>
              <w:rPr>
                <w:rFonts w:ascii="黑体" w:hAnsi="黑体" w:eastAsia="黑体" w:cs="Times New Roman"/>
                <w:sz w:val="24"/>
                <w:szCs w:val="24"/>
              </w:rPr>
            </w:pPr>
            <w:r>
              <w:rPr>
                <w:rFonts w:hint="eastAsia" w:ascii="黑体" w:hAnsi="黑体" w:eastAsia="黑体" w:cs="Times New Roman"/>
                <w:sz w:val="24"/>
                <w:szCs w:val="24"/>
              </w:rPr>
              <w:t>专栏1 公卫提质与健康屏障工程</w:t>
            </w:r>
          </w:p>
        </w:tc>
      </w:tr>
      <w:tr w14:paraId="1FF52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ECFF"/>
          <w:tblCellMar>
            <w:top w:w="0" w:type="dxa"/>
            <w:left w:w="108" w:type="dxa"/>
            <w:bottom w:w="0" w:type="dxa"/>
            <w:right w:w="108" w:type="dxa"/>
          </w:tblCellMar>
        </w:tblPrEx>
        <w:trPr>
          <w:trHeight w:val="388" w:hRule="atLeast"/>
          <w:jc w:val="center"/>
        </w:trPr>
        <w:tc>
          <w:tcPr>
            <w:tcW w:w="8758" w:type="dxa"/>
            <w:shd w:val="clear" w:color="auto" w:fill="auto"/>
          </w:tcPr>
          <w:p w14:paraId="091C1B19">
            <w:pPr>
              <w:spacing w:line="360" w:lineRule="auto"/>
              <w:ind w:firstLine="422" w:firstLineChars="200"/>
              <w:rPr>
                <w:rFonts w:hint="eastAsia" w:ascii="Calibri" w:hAnsi="Calibri"/>
              </w:rPr>
            </w:pPr>
            <w:r>
              <w:rPr>
                <w:rFonts w:hint="eastAsia" w:ascii="Calibri" w:hAnsi="Calibri"/>
                <w:b/>
                <w:bCs/>
              </w:rPr>
              <w:t>建强全域监测预警支撑体系。</w:t>
            </w:r>
            <w:r>
              <w:rPr>
                <w:rFonts w:hint="eastAsia" w:ascii="Calibri" w:hAnsi="Calibri"/>
              </w:rPr>
              <w:t>全域推进监测预警哨点标准化建设，聚焦学校、社区、商超、工地、医疗机构等重点场所，规范设置固定监测哨点与流动监测点位，健全人员健康监测、重点物品抽检、环境消杀监测的立体化监测模式，实现多维度风险早发现、早预警。细化市、县、乡三级分级分类预警处置流程，明确各层级、各单位职责与处置时限，完善预警信息上报、流转、处置、反馈闭环台账，常态化开展应急处置演练，健全考核激励机制。优化高原传染病智能预警模型，结合林芝地域疾病流行特点迭代预警算法，提升风险研判精准度。依托市级重点实验室搭建市县两级样本快速转运、检测联动机制，规范样本采集、冷链转运、快速检测全流程。</w:t>
            </w:r>
          </w:p>
          <w:p w14:paraId="6E34FCFE">
            <w:pPr>
              <w:spacing w:line="360" w:lineRule="auto"/>
              <w:ind w:firstLine="422" w:firstLineChars="200"/>
              <w:rPr>
                <w:rFonts w:ascii="Calibri" w:hAnsi="Calibri" w:eastAsia="宋体" w:cs="Times New Roman"/>
                <w:color w:val="FF0000"/>
                <w:szCs w:val="24"/>
              </w:rPr>
            </w:pPr>
            <w:r>
              <w:rPr>
                <w:rFonts w:hint="eastAsia" w:ascii="Calibri" w:hAnsi="Calibri" w:eastAsia="宋体" w:cs="Times New Roman"/>
                <w:b/>
                <w:bCs/>
                <w:szCs w:val="24"/>
              </w:rPr>
              <w:t>重大工程卫生保障。</w:t>
            </w:r>
            <w:r>
              <w:rPr>
                <w:rFonts w:hint="eastAsia" w:ascii="Calibri" w:hAnsi="Calibri" w:eastAsia="宋体" w:cs="Times New Roman"/>
                <w:szCs w:val="24"/>
              </w:rPr>
              <w:t>针对川藏铁路、雅下水电等国家重大工程，搭建贯穿开工、建设、运营全周期的综合卫生保障体系。落实项目职业健康管控，指导施工单位开展健康企业建设，把职业病防控嵌入工程日常管理；同步布设工地食源性疾病常态化监测网点，搭建现场创伤急救快速处置通道。全方位为一线建设者提供高原健康测评、医疗救治、职业病防治、食品安全风险管控、突发创伤救治与综合应急救援服务。</w:t>
            </w:r>
          </w:p>
          <w:p w14:paraId="38DEC202">
            <w:pPr>
              <w:spacing w:line="360" w:lineRule="auto"/>
              <w:ind w:firstLine="422" w:firstLineChars="200"/>
              <w:rPr>
                <w:rFonts w:ascii="Times New Roman" w:hAnsi="Times New Roman" w:eastAsia="方正仿宋_GBK" w:cs="Times New Roman"/>
                <w:szCs w:val="21"/>
              </w:rPr>
            </w:pPr>
            <w:r>
              <w:rPr>
                <w:rFonts w:hint="eastAsia" w:ascii="Calibri" w:hAnsi="Calibri" w:eastAsia="宋体" w:cs="Times New Roman"/>
                <w:b/>
                <w:bCs/>
                <w:szCs w:val="24"/>
              </w:rPr>
              <w:t>军民卫生健康融合</w:t>
            </w:r>
            <w:r>
              <w:rPr>
                <w:rFonts w:hint="eastAsia" w:ascii="Calibri" w:hAnsi="Calibri" w:eastAsia="宋体" w:cs="Times New Roman"/>
                <w:szCs w:val="24"/>
              </w:rPr>
              <w:t>。将驻地部队医院纳入全市急救网络，实现统一调度、信息互通。协同开展高原医学、野外急救等科研攻关。建立军地卫生联动、应急救援、人才培养、数据共享常态化运行机制。为边防官兵提供健康体检和心理健康服务，全面加强军民健康保障。</w:t>
            </w:r>
          </w:p>
        </w:tc>
      </w:tr>
    </w:tbl>
    <w:p w14:paraId="03BD1E9B"/>
    <w:p w14:paraId="57F56AF2">
      <w:pPr>
        <w:keepNext/>
        <w:keepLines/>
        <w:autoSpaceDE w:val="0"/>
        <w:autoSpaceDN w:val="0"/>
        <w:spacing w:line="360" w:lineRule="auto"/>
        <w:ind w:firstLine="640" w:firstLineChars="200"/>
        <w:jc w:val="left"/>
        <w:outlineLvl w:val="0"/>
        <w:rPr>
          <w:rFonts w:ascii="黑体" w:hAnsi="黑体" w:eastAsia="黑体" w:cs="Times New Roman"/>
          <w:kern w:val="44"/>
          <w:sz w:val="32"/>
          <w:szCs w:val="32"/>
        </w:rPr>
      </w:pPr>
      <w:bookmarkStart w:id="155" w:name="_Toc235857865"/>
      <w:bookmarkStart w:id="156" w:name="_Toc237847428"/>
      <w:r>
        <w:rPr>
          <w:rFonts w:hint="eastAsia" w:ascii="黑体" w:hAnsi="黑体" w:eastAsia="黑体" w:cs="Times New Roman"/>
          <w:kern w:val="44"/>
          <w:sz w:val="32"/>
          <w:szCs w:val="32"/>
        </w:rPr>
        <w:t>五、</w:t>
      </w:r>
      <w:r>
        <w:rPr>
          <w:rFonts w:ascii="黑体" w:hAnsi="黑体" w:eastAsia="黑体" w:cs="Times New Roman"/>
          <w:kern w:val="44"/>
          <w:sz w:val="32"/>
          <w:szCs w:val="32"/>
        </w:rPr>
        <w:t>提升医疗服务品质和能力</w:t>
      </w:r>
      <w:bookmarkEnd w:id="155"/>
      <w:bookmarkEnd w:id="156"/>
    </w:p>
    <w:p w14:paraId="29D7836B">
      <w:pPr>
        <w:keepNext/>
        <w:keepLines/>
        <w:autoSpaceDE w:val="0"/>
        <w:autoSpaceDN w:val="0"/>
        <w:spacing w:before="156" w:beforeLines="50" w:line="360" w:lineRule="auto"/>
        <w:ind w:firstLine="643" w:firstLineChars="200"/>
        <w:outlineLvl w:val="1"/>
        <w:rPr>
          <w:rFonts w:ascii="仿宋" w:hAnsi="仿宋" w:eastAsia="仿宋" w:cs="Times New Roman"/>
          <w:b/>
          <w:sz w:val="32"/>
          <w:szCs w:val="32"/>
        </w:rPr>
      </w:pPr>
      <w:bookmarkStart w:id="157" w:name="_Toc235857866"/>
      <w:bookmarkStart w:id="158" w:name="_Toc237847429"/>
      <w:bookmarkStart w:id="159" w:name="_Toc229475490"/>
      <w:bookmarkStart w:id="160" w:name="_Toc225259783"/>
      <w:bookmarkStart w:id="161" w:name="_Toc224486468"/>
      <w:bookmarkStart w:id="162" w:name="_Toc225367680"/>
      <w:bookmarkStart w:id="163" w:name="_Toc1492471109"/>
      <w:bookmarkStart w:id="164" w:name="_Toc225259854"/>
      <w:bookmarkStart w:id="165" w:name="_Toc1980465958"/>
      <w:r>
        <w:rPr>
          <w:rFonts w:hint="eastAsia" w:ascii="仿宋" w:hAnsi="仿宋" w:eastAsia="仿宋" w:cs="Times New Roman"/>
          <w:b/>
          <w:sz w:val="32"/>
          <w:szCs w:val="32"/>
        </w:rPr>
        <w:t>（一）构建优质高效整合型医疗服务体系</w:t>
      </w:r>
      <w:bookmarkEnd w:id="157"/>
      <w:bookmarkEnd w:id="158"/>
    </w:p>
    <w:p w14:paraId="73067E7B">
      <w:pPr>
        <w:autoSpaceDE w:val="0"/>
        <w:autoSpaceDN w:val="0"/>
        <w:spacing w:line="360" w:lineRule="auto"/>
        <w:ind w:firstLine="640" w:firstLineChars="200"/>
        <w:rPr>
          <w:rFonts w:ascii="仿宋" w:hAnsi="仿宋" w:eastAsia="仿宋" w:cs="Times New Roman"/>
          <w:snapToGrid w:val="0"/>
          <w:sz w:val="32"/>
          <w:szCs w:val="32"/>
        </w:rPr>
      </w:pPr>
      <w:r>
        <w:rPr>
          <w:rFonts w:hint="eastAsia" w:ascii="仿宋" w:hAnsi="仿宋" w:eastAsia="仿宋" w:cs="Times New Roman"/>
          <w:snapToGrid w:val="0"/>
          <w:sz w:val="32"/>
          <w:szCs w:val="32"/>
        </w:rPr>
        <w:t>锚定优质医疗资源扩容下沉和区域均衡布局目标，立足林芝高原边境城市定位，依托广东“组团式”援藏资源，坚持“市级提能、县域补短、基层强基、全域同质”，构建龙头引领、网格支撑、智慧赋能、藏医协同的整合型医疗服务体系，推动医疗卫生机构实现“三个转变”，做到“三个提高”。</w:t>
      </w:r>
    </w:p>
    <w:p w14:paraId="6CBE0583">
      <w:pPr>
        <w:keepNext/>
        <w:keepLines/>
        <w:autoSpaceDE w:val="0"/>
        <w:autoSpaceDN w:val="0"/>
        <w:spacing w:line="360" w:lineRule="auto"/>
        <w:ind w:firstLine="643" w:firstLineChars="200"/>
        <w:outlineLvl w:val="2"/>
        <w:rPr>
          <w:rFonts w:ascii="仿宋" w:hAnsi="仿宋" w:eastAsia="仿宋" w:cs="Times New Roman Regular"/>
          <w:b/>
          <w:bCs/>
          <w:sz w:val="32"/>
          <w:szCs w:val="32"/>
        </w:rPr>
      </w:pPr>
      <w:r>
        <w:rPr>
          <w:rFonts w:hint="eastAsia" w:ascii="仿宋" w:hAnsi="仿宋" w:eastAsia="仿宋" w:cs="Times New Roman Regular"/>
          <w:b/>
          <w:bCs/>
          <w:sz w:val="32"/>
          <w:szCs w:val="32"/>
        </w:rPr>
        <w:t>1.打造区域医疗服务高地</w:t>
      </w:r>
    </w:p>
    <w:p w14:paraId="1FAC78B9">
      <w:pPr>
        <w:autoSpaceDE w:val="0"/>
        <w:autoSpaceDN w:val="0"/>
        <w:spacing w:line="360" w:lineRule="auto"/>
        <w:ind w:firstLine="640" w:firstLineChars="200"/>
        <w:rPr>
          <w:rFonts w:ascii="仿宋" w:hAnsi="仿宋" w:eastAsia="仿宋" w:cs="Times New Roman"/>
          <w:snapToGrid w:val="0"/>
          <w:sz w:val="32"/>
          <w:szCs w:val="32"/>
        </w:rPr>
      </w:pPr>
      <w:r>
        <w:rPr>
          <w:rFonts w:hint="eastAsia" w:ascii="仿宋" w:hAnsi="仿宋" w:eastAsia="仿宋" w:cs="Times New Roman"/>
          <w:snapToGrid w:val="0"/>
          <w:sz w:val="32"/>
          <w:szCs w:val="32"/>
        </w:rPr>
        <w:t>进一步明确全市各级各类医疗机构定位，统筹多方资源，以建强市级公立医疗机构为重心，以市县两级公立医疗机构间有力有效协作、共同实现高质量发展机制为支撑，以县乡两级紧密型医共体为基础，以乡村一体化管理制度为网底，全力打造林芝市医疗卫生服务体系新格局。</w:t>
      </w:r>
    </w:p>
    <w:p w14:paraId="567DA7AB">
      <w:pPr>
        <w:autoSpaceDE w:val="0"/>
        <w:autoSpaceDN w:val="0"/>
        <w:spacing w:line="360" w:lineRule="auto"/>
        <w:ind w:firstLine="640" w:firstLineChars="200"/>
        <w:rPr>
          <w:rFonts w:ascii="仿宋" w:hAnsi="仿宋" w:eastAsia="仿宋" w:cs="Times New Roman"/>
          <w:snapToGrid w:val="0"/>
          <w:sz w:val="32"/>
          <w:szCs w:val="32"/>
        </w:rPr>
      </w:pPr>
      <w:r>
        <w:rPr>
          <w:rFonts w:hint="eastAsia" w:ascii="仿宋" w:hAnsi="仿宋" w:eastAsia="仿宋" w:cs="Times New Roman"/>
          <w:snapToGrid w:val="0"/>
          <w:sz w:val="32"/>
          <w:szCs w:val="32"/>
        </w:rPr>
        <w:t>构建市级区域医疗机构协作平台。以市人民医院为龙头，市藏医院、市妇幼保健院、市疾控中心、市中心血站及巴宜区医疗机构为成员，建成可提供预防、治疗、护理、康复、健康促进为一体的高质量全生命周期医疗卫生服务体系，并逐步推广。搭建多学科专科联盟，开展技术协作与业务联动。适时推进组建城市医疗集团，逐步吸纳县级医院加入，形成全域同质服务格局。分类建强市级龙头机构。各医疗机构错位发展、协同联动。</w:t>
      </w:r>
    </w:p>
    <w:p w14:paraId="29CE7F93">
      <w:pPr>
        <w:autoSpaceDE w:val="0"/>
        <w:autoSpaceDN w:val="0"/>
        <w:spacing w:line="360" w:lineRule="auto"/>
        <w:ind w:firstLine="640" w:firstLineChars="200"/>
        <w:rPr>
          <w:rFonts w:ascii="仿宋" w:hAnsi="仿宋" w:eastAsia="仿宋" w:cs="Times New Roman"/>
          <w:snapToGrid w:val="0"/>
          <w:sz w:val="32"/>
          <w:szCs w:val="32"/>
        </w:rPr>
      </w:pPr>
      <w:r>
        <w:rPr>
          <w:rFonts w:hint="eastAsia" w:ascii="仿宋" w:hAnsi="仿宋" w:eastAsia="仿宋" w:cs="Times New Roman"/>
          <w:snapToGrid w:val="0"/>
          <w:sz w:val="32"/>
          <w:szCs w:val="32"/>
        </w:rPr>
        <w:t>建立市县两级合作机制。市级医疗机构与各县（市、区）对口单位全面建立分级诊疗、双向转诊、技术共享、资源统筹的紧密型医联体。进一步强化紧密型县域医共体功能，持续提升行政、人事、财务等“六统一”管理质效，畅通双向转诊通道，实现小病不出乡、中病不出县。加速推进县级医院等级创建，2028年实现县级人民医院全部成功创建“二级甲等医院”目标，到2030年，所有县级藏医医院达到完成二级民族等级医院评审标准，其中1-2家达到二级甲等民族医医院评审标准。</w:t>
      </w:r>
    </w:p>
    <w:p w14:paraId="333825B0">
      <w:pPr>
        <w:keepNext/>
        <w:keepLines/>
        <w:autoSpaceDE w:val="0"/>
        <w:autoSpaceDN w:val="0"/>
        <w:spacing w:line="360" w:lineRule="auto"/>
        <w:ind w:firstLine="643" w:firstLineChars="200"/>
        <w:outlineLvl w:val="2"/>
        <w:rPr>
          <w:rFonts w:ascii="仿宋" w:hAnsi="仿宋" w:eastAsia="仿宋" w:cs="Times New Roman"/>
          <w:b/>
          <w:snapToGrid w:val="0"/>
          <w:sz w:val="32"/>
          <w:szCs w:val="32"/>
        </w:rPr>
      </w:pPr>
      <w:r>
        <w:rPr>
          <w:rFonts w:hint="eastAsia" w:ascii="仿宋" w:hAnsi="仿宋" w:eastAsia="仿宋" w:cs="Times New Roman Regular"/>
          <w:b/>
          <w:bCs/>
          <w:sz w:val="32"/>
          <w:szCs w:val="32"/>
        </w:rPr>
        <w:t>2.</w:t>
      </w:r>
      <w:r>
        <w:rPr>
          <w:rFonts w:hint="eastAsia" w:ascii="仿宋" w:hAnsi="仿宋" w:eastAsia="仿宋" w:cs="Times New Roman"/>
          <w:snapToGrid w:val="0"/>
          <w:sz w:val="32"/>
          <w:szCs w:val="32"/>
        </w:rPr>
        <w:t xml:space="preserve"> </w:t>
      </w:r>
      <w:r>
        <w:rPr>
          <w:rFonts w:hint="eastAsia" w:ascii="仿宋" w:hAnsi="仿宋" w:eastAsia="仿宋" w:cs="Times New Roman"/>
          <w:b/>
          <w:snapToGrid w:val="0"/>
          <w:sz w:val="32"/>
          <w:szCs w:val="32"/>
        </w:rPr>
        <w:t>优化医疗卫生机构功能定位和布局，精准引进外部优质资源</w:t>
      </w:r>
    </w:p>
    <w:p w14:paraId="538378BC">
      <w:pPr>
        <w:autoSpaceDE w:val="0"/>
        <w:autoSpaceDN w:val="0"/>
        <w:spacing w:line="360" w:lineRule="auto"/>
        <w:ind w:firstLine="640" w:firstLineChars="200"/>
        <w:rPr>
          <w:rFonts w:ascii="仿宋" w:hAnsi="仿宋" w:eastAsia="仿宋" w:cs="Times New Roman"/>
          <w:snapToGrid w:val="0"/>
          <w:sz w:val="32"/>
          <w:szCs w:val="32"/>
        </w:rPr>
      </w:pPr>
      <w:r>
        <w:rPr>
          <w:rFonts w:hint="eastAsia" w:ascii="仿宋" w:hAnsi="仿宋" w:eastAsia="仿宋" w:cs="Times New Roman"/>
          <w:snapToGrid w:val="0"/>
          <w:sz w:val="32"/>
          <w:szCs w:val="32"/>
        </w:rPr>
        <w:t>加强基层医疗卫生机构建设，稳定和优化二级医院发展，控制三级医院规模。因地制宜优化基层医疗卫生机构布局，调控资源总量布局。坚持控规模、优结构、促均衡，严控中心城区公立医院单体规模扩张和社会资本开办综合性医院，引导市级医院走内涵式发展道路。疏解城区同质化专科功能至近郊县域，整合资源，避免同质化竞争。补齐边远县资源短板，推动人才、技术、设备向县域梯度倾斜，破解城区过分集中、全域结构性过剩矛盾。</w:t>
      </w:r>
    </w:p>
    <w:p w14:paraId="4D98AE51">
      <w:pPr>
        <w:autoSpaceDE w:val="0"/>
        <w:autoSpaceDN w:val="0"/>
        <w:spacing w:line="360" w:lineRule="auto"/>
        <w:ind w:firstLine="640" w:firstLineChars="200"/>
        <w:rPr>
          <w:rFonts w:ascii="仿宋" w:hAnsi="仿宋" w:eastAsia="仿宋" w:cs="Times New Roman"/>
          <w:snapToGrid w:val="0"/>
          <w:sz w:val="32"/>
          <w:szCs w:val="32"/>
        </w:rPr>
      </w:pPr>
      <w:r>
        <w:rPr>
          <w:rFonts w:hint="eastAsia" w:ascii="仿宋" w:hAnsi="仿宋" w:eastAsia="仿宋" w:cs="Times New Roman"/>
          <w:snapToGrid w:val="0"/>
          <w:sz w:val="32"/>
          <w:szCs w:val="32"/>
        </w:rPr>
        <w:t>对接国家、省级区域医疗中心，靶向引进优势专科团队。深化广东“组团式”援藏，开展三级医院对口帮扶，创新“院包科、师带徒”模式，推动广东高水平医院与市级医院深度战略合作，派驻管理团队与技术骨干。柔性引进高原医学、心血管等领域专家，建设专家工作室。坚持开放办医理念。在持续深化 “组团式”援藏基础上，主动面向全国、广泛对接，引进高层次医疗卫生人才和管理团队、重点专科和特色专科、优质医学教育和科研机构，以京津沪粤川为主攻方向，通过多种形式深度合作，推动我市学科建设、人才培养、科研教学等相关领域取得突破性进展。抢抓国家对口支援、区域医疗中心建设等政策机遇，构建“东西协作、南北联动、多元合作”的开放办医新格局，借势借力提升我市医疗服务能力，厚植发展优势，强力打造区域医疗高地。</w:t>
      </w:r>
    </w:p>
    <w:p w14:paraId="365F4760">
      <w:pPr>
        <w:autoSpaceDE w:val="0"/>
        <w:autoSpaceDN w:val="0"/>
        <w:spacing w:line="360" w:lineRule="auto"/>
        <w:ind w:firstLine="640" w:firstLineChars="200"/>
        <w:rPr>
          <w:rFonts w:ascii="仿宋" w:hAnsi="仿宋" w:eastAsia="仿宋" w:cs="Times New Roman"/>
          <w:snapToGrid w:val="0"/>
          <w:sz w:val="32"/>
          <w:szCs w:val="32"/>
        </w:rPr>
      </w:pPr>
      <w:r>
        <w:rPr>
          <w:rFonts w:hint="eastAsia" w:ascii="仿宋" w:hAnsi="仿宋" w:eastAsia="仿宋" w:cs="Times New Roman"/>
          <w:snapToGrid w:val="0"/>
          <w:sz w:val="32"/>
          <w:szCs w:val="32"/>
        </w:rPr>
        <w:t>推动资源梯度下沉。建立优质资源清单化下沉机制，落实市级医院“院包科”帮扶县级医院制度，推动诊疗规范、质控标准向县域平移。依托县域医共体推动县级资源下沉基层，统一药械供应与服务规范。建立市、县、乡、村四级巡回医疗制度，填补偏远地区服务空白。</w:t>
      </w:r>
    </w:p>
    <w:p w14:paraId="2E72773A">
      <w:pPr>
        <w:keepNext/>
        <w:keepLines/>
        <w:autoSpaceDE w:val="0"/>
        <w:autoSpaceDN w:val="0"/>
        <w:spacing w:line="360" w:lineRule="auto"/>
        <w:ind w:firstLine="643" w:firstLineChars="200"/>
        <w:outlineLvl w:val="2"/>
        <w:rPr>
          <w:rFonts w:ascii="仿宋" w:hAnsi="仿宋" w:eastAsia="仿宋" w:cs="Times New Roman Regular"/>
          <w:b/>
          <w:bCs/>
          <w:color w:val="FF0000"/>
          <w:sz w:val="32"/>
          <w:szCs w:val="32"/>
        </w:rPr>
      </w:pPr>
      <w:r>
        <w:rPr>
          <w:rFonts w:hint="eastAsia" w:ascii="仿宋" w:hAnsi="仿宋" w:eastAsia="仿宋" w:cs="Times New Roman Regular"/>
          <w:b/>
          <w:bCs/>
          <w:sz w:val="32"/>
          <w:szCs w:val="32"/>
        </w:rPr>
        <w:t>3.加快建设五大中心</w:t>
      </w:r>
    </w:p>
    <w:p w14:paraId="32F1358D">
      <w:pPr>
        <w:autoSpaceDE w:val="0"/>
        <w:autoSpaceDN w:val="0"/>
        <w:spacing w:line="360" w:lineRule="auto"/>
        <w:ind w:firstLine="640" w:firstLineChars="200"/>
        <w:rPr>
          <w:rFonts w:ascii="仿宋" w:hAnsi="仿宋" w:eastAsia="仿宋" w:cs="Times New Roman"/>
          <w:snapToGrid w:val="0"/>
          <w:sz w:val="32"/>
          <w:szCs w:val="32"/>
        </w:rPr>
      </w:pPr>
      <w:r>
        <w:rPr>
          <w:rFonts w:hint="eastAsia" w:ascii="仿宋" w:hAnsi="仿宋" w:eastAsia="仿宋" w:cs="Times New Roman"/>
          <w:snapToGrid w:val="0"/>
          <w:sz w:val="32"/>
          <w:szCs w:val="32"/>
        </w:rPr>
        <w:t>对标国家“五大中心”建设标准与管理规范，市人民医院牵头、各医院参与，高标准建设胸痛、卒中、创伤、危重孕产妇、高危儿童和新生儿救治中心，完善硬件配置、人才梯队与诊疗流程。强化中心标准化建设。胸痛中心重点完善导管室配置与急性胸痛快速处置流程，卒中中心健全静脉溶栓、血管内取栓全链条救治能力，创伤中心构建多学科联合救治模式，危重孕产妇、危重新生儿救治中心强化产科、新生儿科协同救治体系，全面达到国家建设标准。</w:t>
      </w:r>
    </w:p>
    <w:p w14:paraId="79584BEB">
      <w:pPr>
        <w:autoSpaceDE w:val="0"/>
        <w:autoSpaceDN w:val="0"/>
        <w:spacing w:line="360" w:lineRule="auto"/>
        <w:ind w:firstLine="640" w:firstLineChars="200"/>
        <w:rPr>
          <w:rFonts w:ascii="仿宋" w:hAnsi="仿宋" w:eastAsia="仿宋" w:cs="Times New Roman"/>
          <w:snapToGrid w:val="0"/>
          <w:sz w:val="32"/>
          <w:szCs w:val="32"/>
        </w:rPr>
      </w:pPr>
      <w:r>
        <w:rPr>
          <w:rFonts w:hint="eastAsia" w:ascii="仿宋" w:hAnsi="仿宋" w:eastAsia="仿宋" w:cs="Times New Roman"/>
          <w:snapToGrid w:val="0"/>
          <w:sz w:val="32"/>
          <w:szCs w:val="32"/>
        </w:rPr>
        <w:t>延伸县域救治网络。在县级医院设立对应救治单元与协作点，建立上下联动的转诊、会诊与技术指导机制，推动五大中心救治规范向县域覆盖，构建市域协同的急危重症救治网络。</w:t>
      </w:r>
    </w:p>
    <w:p w14:paraId="6BEC9647">
      <w:pPr>
        <w:keepNext/>
        <w:keepLines/>
        <w:autoSpaceDE w:val="0"/>
        <w:autoSpaceDN w:val="0"/>
        <w:spacing w:line="360" w:lineRule="auto"/>
        <w:ind w:firstLine="643" w:firstLineChars="200"/>
        <w:outlineLvl w:val="2"/>
        <w:rPr>
          <w:rFonts w:ascii="仿宋" w:hAnsi="仿宋" w:eastAsia="仿宋" w:cs="Times New Roman Regular"/>
          <w:b/>
          <w:bCs/>
          <w:sz w:val="32"/>
          <w:szCs w:val="32"/>
        </w:rPr>
      </w:pPr>
      <w:r>
        <w:rPr>
          <w:rFonts w:hint="eastAsia" w:ascii="仿宋" w:hAnsi="仿宋" w:eastAsia="仿宋" w:cs="Times New Roman Regular"/>
          <w:b/>
          <w:bCs/>
          <w:sz w:val="32"/>
          <w:szCs w:val="32"/>
        </w:rPr>
        <w:t>4.加强重点临床专科建设</w:t>
      </w:r>
    </w:p>
    <w:p w14:paraId="41FD1587">
      <w:pPr>
        <w:autoSpaceDE w:val="0"/>
        <w:autoSpaceDN w:val="0"/>
        <w:spacing w:line="360" w:lineRule="auto"/>
        <w:ind w:firstLine="640" w:firstLineChars="200"/>
        <w:rPr>
          <w:rFonts w:ascii="仿宋" w:hAnsi="仿宋" w:eastAsia="仿宋" w:cs="Times New Roman"/>
          <w:snapToGrid w:val="0"/>
          <w:sz w:val="32"/>
          <w:szCs w:val="32"/>
        </w:rPr>
      </w:pPr>
      <w:r>
        <w:rPr>
          <w:rFonts w:hint="eastAsia" w:ascii="仿宋" w:hAnsi="仿宋" w:eastAsia="仿宋" w:cs="Times New Roman"/>
          <w:snapToGrid w:val="0"/>
          <w:sz w:val="32"/>
          <w:szCs w:val="32"/>
        </w:rPr>
        <w:t>做强高原特色专科，补齐薄弱专科短板。以市人民医院优势专科为牵引，依托援藏及开放合作资源，统一诊疗规范、转诊标准与质控体系，重点发展高原病医学、创伤外科、康复科等学科。依托市藏医院重点建设藏医脑病、胃肠等专科，推动藏医外治、药浴等疗法标准化。深化专科联盟建设。以市人民医院优势专科为牵引，依托援藏资源组建紧密型专科联盟，统一诊疗规范、转诊标准与质控体系。支持市人民医院依托中山大学中山眼科中心资源，建设中山眼科中心林芝分中心，重点提升白内障、眼底病、青光眼、儿童眼病和高原相关眼病诊疗能力；做强康复医学科，建设集快速康复、重症康复、神经康复、骨科康复和高原慢病康复于一体的区域康复中心。到2030年，建成国家级重点专科不少于1个，自治区级不少于5个、市级不少于40个。</w:t>
      </w:r>
    </w:p>
    <w:p w14:paraId="363955E4">
      <w:pPr>
        <w:autoSpaceDE w:val="0"/>
        <w:autoSpaceDN w:val="0"/>
        <w:spacing w:line="360" w:lineRule="auto"/>
        <w:ind w:firstLine="640" w:firstLineChars="200"/>
        <w:rPr>
          <w:rFonts w:ascii="仿宋" w:hAnsi="仿宋" w:eastAsia="仿宋" w:cs="Times New Roman"/>
          <w:snapToGrid w:val="0"/>
          <w:sz w:val="32"/>
          <w:szCs w:val="32"/>
        </w:rPr>
      </w:pPr>
      <w:r>
        <w:rPr>
          <w:rFonts w:hint="eastAsia" w:ascii="仿宋" w:hAnsi="仿宋" w:eastAsia="仿宋" w:cs="Times New Roman"/>
          <w:snapToGrid w:val="0"/>
          <w:sz w:val="32"/>
          <w:szCs w:val="32"/>
        </w:rPr>
        <w:t>传承藏医药特色学科。依托市藏医院“国家中医优势专科”，重点建设藏医脑病、康复、胃肠等专科，推动藏医外治、药浴等疗法标准化。支持县级藏医院“一院一特色”发展，构建市、县、乡三级藏医药服务体系。</w:t>
      </w:r>
    </w:p>
    <w:tbl>
      <w:tblPr>
        <w:tblStyle w:val="6"/>
        <w:tblW w:w="8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ECFF"/>
        <w:tblLayout w:type="fixed"/>
        <w:tblCellMar>
          <w:top w:w="0" w:type="dxa"/>
          <w:left w:w="108" w:type="dxa"/>
          <w:bottom w:w="0" w:type="dxa"/>
          <w:right w:w="108" w:type="dxa"/>
        </w:tblCellMar>
      </w:tblPr>
      <w:tblGrid>
        <w:gridCol w:w="8758"/>
      </w:tblGrid>
      <w:tr w14:paraId="62FFA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ECFF"/>
          <w:tblCellMar>
            <w:top w:w="0" w:type="dxa"/>
            <w:left w:w="108" w:type="dxa"/>
            <w:bottom w:w="0" w:type="dxa"/>
            <w:right w:w="108" w:type="dxa"/>
          </w:tblCellMar>
        </w:tblPrEx>
        <w:trPr>
          <w:trHeight w:val="443" w:hRule="atLeast"/>
          <w:jc w:val="center"/>
        </w:trPr>
        <w:tc>
          <w:tcPr>
            <w:tcW w:w="8758" w:type="dxa"/>
            <w:tcBorders>
              <w:top w:val="single" w:color="auto" w:sz="4" w:space="0"/>
              <w:left w:val="single" w:color="auto" w:sz="4" w:space="0"/>
              <w:bottom w:val="single" w:color="auto" w:sz="4" w:space="0"/>
              <w:right w:val="single" w:color="auto" w:sz="4" w:space="0"/>
            </w:tcBorders>
            <w:shd w:val="clear" w:color="auto" w:fill="C6D9F1"/>
          </w:tcPr>
          <w:p w14:paraId="6C9F4036">
            <w:pPr>
              <w:spacing w:line="400" w:lineRule="exact"/>
              <w:jc w:val="center"/>
              <w:rPr>
                <w:rFonts w:ascii="黑体" w:hAnsi="黑体" w:eastAsia="黑体" w:cs="Times New Roman"/>
                <w:sz w:val="24"/>
                <w:szCs w:val="24"/>
              </w:rPr>
            </w:pPr>
            <w:r>
              <w:rPr>
                <w:rFonts w:hint="eastAsia" w:ascii="黑体" w:hAnsi="黑体" w:eastAsia="黑体" w:cs="Times New Roman"/>
                <w:sz w:val="24"/>
                <w:szCs w:val="24"/>
              </w:rPr>
              <w:t>专栏2 专科建设提升工程</w:t>
            </w:r>
          </w:p>
        </w:tc>
      </w:tr>
      <w:tr w14:paraId="4F805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ECFF"/>
          <w:tblCellMar>
            <w:top w:w="0" w:type="dxa"/>
            <w:left w:w="108" w:type="dxa"/>
            <w:bottom w:w="0" w:type="dxa"/>
            <w:right w:w="108" w:type="dxa"/>
          </w:tblCellMar>
        </w:tblPrEx>
        <w:trPr>
          <w:trHeight w:val="388" w:hRule="atLeast"/>
          <w:jc w:val="center"/>
        </w:trPr>
        <w:tc>
          <w:tcPr>
            <w:tcW w:w="8758" w:type="dxa"/>
            <w:shd w:val="clear" w:color="auto" w:fill="auto"/>
          </w:tcPr>
          <w:p w14:paraId="104914A0">
            <w:pPr>
              <w:spacing w:line="360" w:lineRule="auto"/>
              <w:ind w:firstLine="422" w:firstLineChars="200"/>
              <w:rPr>
                <w:rFonts w:hint="eastAsia" w:ascii="Calibri" w:hAnsi="Calibri" w:eastAsia="宋体" w:cs="Times New Roman"/>
                <w:bCs/>
                <w:szCs w:val="24"/>
              </w:rPr>
            </w:pPr>
            <w:r>
              <w:rPr>
                <w:rFonts w:hint="eastAsia" w:ascii="Calibri" w:hAnsi="Calibri" w:eastAsia="宋体" w:cs="Times New Roman"/>
                <w:b/>
                <w:bCs/>
                <w:szCs w:val="24"/>
              </w:rPr>
              <w:t>高峰专科冲刺。</w:t>
            </w:r>
            <w:r>
              <w:rPr>
                <w:rFonts w:hint="eastAsia" w:ascii="Calibri" w:hAnsi="Calibri" w:eastAsia="宋体" w:cs="Times New Roman"/>
                <w:bCs/>
                <w:szCs w:val="24"/>
              </w:rPr>
              <w:t>依托国家级重症医学专科建设项目，巩固心血管内科、骨外科、妇产科等现有市级重点专科优势，确立市人民医院在藏东南区域的疑难危重症诊疗中心地位。升级DSA、高压氧及骨科手术机器人等高原适配设备，牵头制定全市胸痛、心衰、VTE防治标准化诊疗体系。深化“援藏专家+本土骨干”双主任制，重点支持重症医学争创国家级重点专科，推动心血管、骨科等学科冲击自治区级临床重点专科。建立市级高难度技术准入与授权标准，常态化开展复杂冠脉介入、机器人辅助关节置换、重症CRRT等技术，构建“1个国家级引领、5个自治区级支撑、N个市级重点筑基”的专科集群。</w:t>
            </w:r>
          </w:p>
          <w:p w14:paraId="47C4EDEC">
            <w:pPr>
              <w:spacing w:line="360" w:lineRule="auto"/>
              <w:ind w:firstLine="422" w:firstLineChars="200"/>
              <w:rPr>
                <w:rFonts w:hint="eastAsia" w:ascii="Calibri" w:hAnsi="Calibri" w:eastAsia="宋体" w:cs="Times New Roman"/>
                <w:bCs/>
                <w:szCs w:val="24"/>
              </w:rPr>
            </w:pPr>
            <w:r>
              <w:rPr>
                <w:rFonts w:hint="eastAsia" w:ascii="Calibri" w:hAnsi="Calibri" w:eastAsia="宋体" w:cs="Times New Roman"/>
                <w:b/>
                <w:bCs/>
                <w:szCs w:val="24"/>
              </w:rPr>
              <w:t>做强市级优势专科。</w:t>
            </w:r>
            <w:r>
              <w:rPr>
                <w:rFonts w:hint="eastAsia" w:ascii="Calibri" w:hAnsi="Calibri" w:eastAsia="宋体" w:cs="Times New Roman"/>
                <w:bCs/>
                <w:szCs w:val="24"/>
              </w:rPr>
              <w:t>构建以市级医院为枢纽的五大中心全流程救治网络，拓展卒中后康复、脊柱微创等亚专业。建立市级专科MDT会诊平台，针对高原创伤、儿童先心病等开设全市预约转诊联合门诊。补齐3D腹腔镜等关键设备，显著降低全市危重患者外转率。。</w:t>
            </w:r>
          </w:p>
          <w:p w14:paraId="4CF0F9B2">
            <w:pPr>
              <w:spacing w:line="360" w:lineRule="auto"/>
              <w:ind w:firstLine="422" w:firstLineChars="200"/>
              <w:rPr>
                <w:rFonts w:ascii="Times New Roman" w:hAnsi="Times New Roman" w:eastAsia="宋体" w:cs="Times New Roman"/>
                <w:szCs w:val="21"/>
              </w:rPr>
            </w:pPr>
            <w:r>
              <w:rPr>
                <w:rFonts w:hint="eastAsia" w:ascii="Calibri" w:hAnsi="Calibri" w:eastAsia="宋体" w:cs="Times New Roman"/>
                <w:b/>
                <w:bCs/>
                <w:szCs w:val="24"/>
              </w:rPr>
              <w:t>夯实基础与特色专科。</w:t>
            </w:r>
            <w:r>
              <w:rPr>
                <w:rFonts w:hint="eastAsia" w:ascii="Calibri" w:hAnsi="Calibri" w:eastAsia="宋体" w:cs="Times New Roman"/>
                <w:bCs/>
                <w:szCs w:val="24"/>
              </w:rPr>
              <w:t>依托“院包科”机制，实施市级薄弱学科“清零”行动。引进睡眠监测、心理评估系统，完善病理及免疫组化检测能力，填补市级精神疾病规范化诊疗空白，形成“综合医院强专科、专科医院有特色”的市级专科布局。</w:t>
            </w:r>
          </w:p>
        </w:tc>
      </w:tr>
    </w:tbl>
    <w:p w14:paraId="52AC190A">
      <w:pPr>
        <w:autoSpaceDE w:val="0"/>
        <w:autoSpaceDN w:val="0"/>
        <w:spacing w:line="360" w:lineRule="auto"/>
        <w:ind w:firstLine="640" w:firstLineChars="200"/>
        <w:rPr>
          <w:rFonts w:ascii="仿宋" w:hAnsi="仿宋" w:eastAsia="仿宋" w:cs="Times New Roman"/>
          <w:snapToGrid w:val="0"/>
          <w:sz w:val="32"/>
          <w:szCs w:val="32"/>
        </w:rPr>
      </w:pPr>
    </w:p>
    <w:p w14:paraId="277C185C">
      <w:pPr>
        <w:keepNext/>
        <w:keepLines/>
        <w:autoSpaceDE w:val="0"/>
        <w:autoSpaceDN w:val="0"/>
        <w:spacing w:line="360" w:lineRule="auto"/>
        <w:ind w:firstLine="643" w:firstLineChars="200"/>
        <w:outlineLvl w:val="2"/>
        <w:rPr>
          <w:rFonts w:ascii="仿宋" w:hAnsi="仿宋" w:eastAsia="仿宋" w:cs="Times New Roman Regular"/>
          <w:b/>
          <w:bCs/>
          <w:sz w:val="32"/>
          <w:szCs w:val="32"/>
        </w:rPr>
      </w:pPr>
      <w:r>
        <w:rPr>
          <w:rFonts w:hint="eastAsia" w:ascii="仿宋" w:hAnsi="仿宋" w:eastAsia="仿宋" w:cs="Times New Roman Regular"/>
          <w:b/>
          <w:bCs/>
          <w:sz w:val="32"/>
          <w:szCs w:val="32"/>
        </w:rPr>
        <w:t>5.健全</w:t>
      </w:r>
      <w:r>
        <w:rPr>
          <w:rFonts w:ascii="仿宋" w:hAnsi="仿宋" w:eastAsia="仿宋" w:cs="Times New Roman Regular"/>
          <w:b/>
          <w:bCs/>
          <w:sz w:val="32"/>
          <w:szCs w:val="32"/>
        </w:rPr>
        <w:t>现代医院管理制度</w:t>
      </w:r>
    </w:p>
    <w:p w14:paraId="3FE12D49">
      <w:pPr>
        <w:autoSpaceDE w:val="0"/>
        <w:autoSpaceDN w:val="0"/>
        <w:spacing w:line="360" w:lineRule="auto"/>
        <w:ind w:firstLine="640" w:firstLineChars="200"/>
        <w:rPr>
          <w:rFonts w:ascii="仿宋" w:hAnsi="仿宋" w:eastAsia="仿宋" w:cs="Times New Roman"/>
          <w:snapToGrid w:val="0"/>
          <w:sz w:val="32"/>
          <w:szCs w:val="32"/>
        </w:rPr>
      </w:pPr>
      <w:r>
        <w:rPr>
          <w:rFonts w:hint="eastAsia" w:ascii="仿宋" w:hAnsi="仿宋" w:eastAsia="仿宋" w:cs="Times New Roman"/>
          <w:snapToGrid w:val="0"/>
          <w:sz w:val="32"/>
          <w:szCs w:val="32"/>
        </w:rPr>
        <w:t>公立医院全面落实党委领导下</w:t>
      </w:r>
      <w:r>
        <w:rPr>
          <w:rFonts w:ascii="仿宋" w:hAnsi="仿宋" w:eastAsia="仿宋" w:cs="Times New Roman"/>
          <w:snapToGrid w:val="0"/>
          <w:sz w:val="32"/>
          <w:szCs w:val="32"/>
        </w:rPr>
        <w:t>的院长</w:t>
      </w:r>
      <w:r>
        <w:rPr>
          <w:rFonts w:hint="eastAsia" w:ascii="仿宋" w:hAnsi="仿宋" w:eastAsia="仿宋" w:cs="Times New Roman"/>
          <w:snapToGrid w:val="0"/>
          <w:sz w:val="32"/>
          <w:szCs w:val="32"/>
        </w:rPr>
        <w:t>负责制，健全党委会、院长办公会议事规则和党政沟通机制，重大事项由党委集体讨论决定。制定并完善</w:t>
      </w:r>
      <w:r>
        <w:rPr>
          <w:rFonts w:ascii="仿宋" w:hAnsi="仿宋" w:eastAsia="仿宋" w:cs="Times New Roman"/>
          <w:snapToGrid w:val="0"/>
          <w:sz w:val="32"/>
          <w:szCs w:val="32"/>
        </w:rPr>
        <w:t>医疗卫生机构</w:t>
      </w:r>
      <w:r>
        <w:rPr>
          <w:rFonts w:hint="eastAsia" w:ascii="仿宋" w:hAnsi="仿宋" w:eastAsia="仿宋" w:cs="Times New Roman"/>
          <w:snapToGrid w:val="0"/>
          <w:sz w:val="32"/>
          <w:szCs w:val="32"/>
        </w:rPr>
        <w:t>章程，找准职能定位、完善议事决策制度、明确</w:t>
      </w:r>
      <w:r>
        <w:rPr>
          <w:rFonts w:ascii="仿宋" w:hAnsi="仿宋" w:eastAsia="仿宋" w:cs="Times New Roman"/>
          <w:snapToGrid w:val="0"/>
          <w:sz w:val="32"/>
          <w:szCs w:val="32"/>
        </w:rPr>
        <w:t>文</w:t>
      </w:r>
      <w:r>
        <w:rPr>
          <w:rFonts w:hint="eastAsia" w:ascii="仿宋" w:hAnsi="仿宋" w:eastAsia="仿宋" w:cs="Times New Roman"/>
          <w:snapToGrid w:val="0"/>
          <w:sz w:val="32"/>
          <w:szCs w:val="32"/>
        </w:rPr>
        <w:t>化建设</w:t>
      </w:r>
      <w:r>
        <w:rPr>
          <w:rFonts w:ascii="仿宋" w:hAnsi="仿宋" w:eastAsia="仿宋" w:cs="Times New Roman"/>
          <w:snapToGrid w:val="0"/>
          <w:sz w:val="32"/>
          <w:szCs w:val="32"/>
        </w:rPr>
        <w:t>内涵</w:t>
      </w:r>
      <w:r>
        <w:rPr>
          <w:rFonts w:hint="eastAsia" w:ascii="仿宋" w:hAnsi="仿宋" w:eastAsia="仿宋" w:cs="Times New Roman"/>
          <w:snapToGrid w:val="0"/>
          <w:sz w:val="32"/>
          <w:szCs w:val="32"/>
        </w:rPr>
        <w:t>。强化行政负责人职责论证与结果运用，探索推行医疗机构</w:t>
      </w:r>
      <w:r>
        <w:rPr>
          <w:rFonts w:ascii="仿宋" w:hAnsi="仿宋" w:eastAsia="仿宋" w:cs="Times New Roman"/>
          <w:snapToGrid w:val="0"/>
          <w:sz w:val="32"/>
          <w:szCs w:val="32"/>
        </w:rPr>
        <w:t>负责人聘任制</w:t>
      </w:r>
      <w:r>
        <w:rPr>
          <w:rFonts w:hint="eastAsia" w:ascii="仿宋" w:hAnsi="仿宋" w:eastAsia="仿宋" w:cs="Times New Roman"/>
          <w:snapToGrid w:val="0"/>
          <w:sz w:val="32"/>
          <w:szCs w:val="32"/>
        </w:rPr>
        <w:t>。打破身份壁垒，全面建立</w:t>
      </w:r>
      <w:r>
        <w:rPr>
          <w:rFonts w:ascii="仿宋" w:hAnsi="仿宋" w:eastAsia="仿宋" w:cs="Times New Roman"/>
          <w:snapToGrid w:val="0"/>
          <w:sz w:val="32"/>
          <w:szCs w:val="32"/>
        </w:rPr>
        <w:t>科室负责人</w:t>
      </w:r>
      <w:r>
        <w:rPr>
          <w:rFonts w:hint="eastAsia" w:ascii="仿宋" w:hAnsi="仿宋" w:eastAsia="仿宋" w:cs="Times New Roman"/>
          <w:snapToGrid w:val="0"/>
          <w:sz w:val="32"/>
          <w:szCs w:val="32"/>
        </w:rPr>
        <w:t>择优竞岗机制，逐步推行全员聘</w:t>
      </w:r>
      <w:r>
        <w:rPr>
          <w:rFonts w:ascii="仿宋" w:hAnsi="仿宋" w:eastAsia="仿宋" w:cs="Times New Roman"/>
          <w:snapToGrid w:val="0"/>
          <w:sz w:val="32"/>
          <w:szCs w:val="32"/>
        </w:rPr>
        <w:t>任</w:t>
      </w:r>
      <w:r>
        <w:rPr>
          <w:rFonts w:hint="eastAsia" w:ascii="仿宋" w:hAnsi="仿宋" w:eastAsia="仿宋" w:cs="Times New Roman"/>
          <w:snapToGrid w:val="0"/>
          <w:sz w:val="32"/>
          <w:szCs w:val="32"/>
        </w:rPr>
        <w:t>制。</w:t>
      </w:r>
      <w:r>
        <w:rPr>
          <w:rFonts w:ascii="仿宋" w:hAnsi="仿宋" w:eastAsia="仿宋" w:cs="Times New Roman"/>
          <w:snapToGrid w:val="0"/>
          <w:sz w:val="32"/>
          <w:szCs w:val="32"/>
        </w:rPr>
        <w:t>在公立医疗机构建立总会计师制度，逐步</w:t>
      </w:r>
      <w:r>
        <w:rPr>
          <w:rFonts w:hint="eastAsia" w:ascii="仿宋" w:hAnsi="仿宋" w:eastAsia="仿宋" w:cs="Times New Roman"/>
          <w:snapToGrid w:val="0"/>
          <w:sz w:val="32"/>
          <w:szCs w:val="32"/>
        </w:rPr>
        <w:t>推行</w:t>
      </w:r>
      <w:r>
        <w:rPr>
          <w:rFonts w:ascii="仿宋" w:hAnsi="仿宋" w:eastAsia="仿宋" w:cs="Times New Roman"/>
          <w:snapToGrid w:val="0"/>
          <w:sz w:val="32"/>
          <w:szCs w:val="32"/>
        </w:rPr>
        <w:t>全</w:t>
      </w:r>
      <w:r>
        <w:rPr>
          <w:rFonts w:hint="eastAsia" w:ascii="仿宋" w:hAnsi="仿宋" w:eastAsia="仿宋" w:cs="Times New Roman"/>
          <w:snapToGrid w:val="0"/>
          <w:sz w:val="32"/>
          <w:szCs w:val="32"/>
        </w:rPr>
        <w:t>成本核算，优化收入结构。二级</w:t>
      </w:r>
      <w:r>
        <w:rPr>
          <w:rFonts w:ascii="仿宋" w:hAnsi="仿宋" w:eastAsia="仿宋" w:cs="Times New Roman"/>
          <w:snapToGrid w:val="0"/>
          <w:sz w:val="32"/>
          <w:szCs w:val="32"/>
        </w:rPr>
        <w:t>及以上</w:t>
      </w:r>
      <w:r>
        <w:rPr>
          <w:rFonts w:hint="eastAsia" w:ascii="仿宋" w:hAnsi="仿宋" w:eastAsia="仿宋" w:cs="Times New Roman"/>
          <w:snapToGrid w:val="0"/>
          <w:sz w:val="32"/>
          <w:szCs w:val="32"/>
        </w:rPr>
        <w:t>公立医</w:t>
      </w:r>
      <w:r>
        <w:rPr>
          <w:rFonts w:ascii="仿宋" w:hAnsi="仿宋" w:eastAsia="仿宋" w:cs="Times New Roman"/>
          <w:snapToGrid w:val="0"/>
          <w:sz w:val="32"/>
          <w:szCs w:val="32"/>
        </w:rPr>
        <w:t>疗机构</w:t>
      </w:r>
      <w:r>
        <w:rPr>
          <w:rFonts w:hint="eastAsia" w:ascii="仿宋" w:hAnsi="仿宋" w:eastAsia="仿宋" w:cs="Times New Roman"/>
          <w:snapToGrid w:val="0"/>
          <w:sz w:val="32"/>
          <w:szCs w:val="32"/>
        </w:rPr>
        <w:t>全</w:t>
      </w:r>
      <w:r>
        <w:rPr>
          <w:rFonts w:ascii="仿宋" w:hAnsi="仿宋" w:eastAsia="仿宋" w:cs="Times New Roman"/>
          <w:snapToGrid w:val="0"/>
          <w:sz w:val="32"/>
          <w:szCs w:val="32"/>
        </w:rPr>
        <w:t>部</w:t>
      </w:r>
      <w:r>
        <w:rPr>
          <w:rFonts w:hint="eastAsia" w:ascii="仿宋" w:hAnsi="仿宋" w:eastAsia="仿宋" w:cs="Times New Roman"/>
          <w:snapToGrid w:val="0"/>
          <w:sz w:val="32"/>
          <w:szCs w:val="32"/>
        </w:rPr>
        <w:t>建立基于数据循证的运营管理决策支持</w:t>
      </w:r>
      <w:r>
        <w:rPr>
          <w:rFonts w:ascii="仿宋" w:hAnsi="仿宋" w:eastAsia="仿宋" w:cs="Times New Roman"/>
          <w:snapToGrid w:val="0"/>
          <w:sz w:val="32"/>
          <w:szCs w:val="32"/>
        </w:rPr>
        <w:t>体</w:t>
      </w:r>
      <w:r>
        <w:rPr>
          <w:rFonts w:hint="eastAsia" w:ascii="仿宋" w:hAnsi="仿宋" w:eastAsia="仿宋" w:cs="Times New Roman"/>
          <w:snapToGrid w:val="0"/>
          <w:sz w:val="32"/>
          <w:szCs w:val="32"/>
        </w:rPr>
        <w:t>系</w:t>
      </w:r>
      <w:r>
        <w:rPr>
          <w:rFonts w:ascii="仿宋" w:hAnsi="仿宋" w:eastAsia="仿宋" w:cs="Times New Roman"/>
          <w:snapToGrid w:val="0"/>
          <w:sz w:val="32"/>
          <w:szCs w:val="32"/>
        </w:rPr>
        <w:t>。</w:t>
      </w:r>
      <w:r>
        <w:rPr>
          <w:rFonts w:hint="eastAsia" w:ascii="仿宋" w:hAnsi="仿宋" w:eastAsia="仿宋" w:cs="Times New Roman"/>
          <w:snapToGrid w:val="0"/>
          <w:sz w:val="32"/>
          <w:szCs w:val="32"/>
        </w:rPr>
        <w:t>全面推行零基预算，强化全口径、全过程预算管理。</w:t>
      </w:r>
      <w:r>
        <w:rPr>
          <w:rFonts w:ascii="仿宋" w:hAnsi="仿宋" w:eastAsia="仿宋" w:cs="Times New Roman"/>
          <w:snapToGrid w:val="0"/>
          <w:sz w:val="32"/>
          <w:szCs w:val="32"/>
        </w:rPr>
        <w:t>有序开展公立医疗机构</w:t>
      </w:r>
      <w:r>
        <w:rPr>
          <w:rFonts w:hint="eastAsia" w:ascii="仿宋" w:hAnsi="仿宋" w:eastAsia="仿宋" w:cs="Times New Roman"/>
          <w:snapToGrid w:val="0"/>
          <w:sz w:val="32"/>
          <w:szCs w:val="32"/>
        </w:rPr>
        <w:t>整体运营绩效评估。发挥质控中心</w:t>
      </w:r>
      <w:r>
        <w:rPr>
          <w:rFonts w:ascii="仿宋" w:hAnsi="仿宋" w:eastAsia="仿宋" w:cs="Times New Roman"/>
          <w:snapToGrid w:val="0"/>
          <w:sz w:val="32"/>
          <w:szCs w:val="32"/>
        </w:rPr>
        <w:t>功能</w:t>
      </w:r>
      <w:r>
        <w:rPr>
          <w:rFonts w:hint="eastAsia" w:ascii="仿宋" w:hAnsi="仿宋" w:eastAsia="仿宋" w:cs="Times New Roman"/>
          <w:snapToGrid w:val="0"/>
          <w:sz w:val="32"/>
          <w:szCs w:val="32"/>
        </w:rPr>
        <w:t>，强化</w:t>
      </w:r>
      <w:r>
        <w:rPr>
          <w:rFonts w:ascii="仿宋" w:hAnsi="仿宋" w:eastAsia="仿宋" w:cs="Times New Roman"/>
          <w:snapToGrid w:val="0"/>
          <w:sz w:val="32"/>
          <w:szCs w:val="32"/>
        </w:rPr>
        <w:t>医疗</w:t>
      </w:r>
      <w:r>
        <w:rPr>
          <w:rFonts w:hint="eastAsia" w:ascii="仿宋" w:hAnsi="仿宋" w:eastAsia="仿宋" w:cs="Times New Roman"/>
          <w:snapToGrid w:val="0"/>
          <w:sz w:val="32"/>
          <w:szCs w:val="32"/>
        </w:rPr>
        <w:t>质量控制</w:t>
      </w:r>
      <w:r>
        <w:rPr>
          <w:rFonts w:ascii="仿宋" w:hAnsi="仿宋" w:eastAsia="仿宋" w:cs="Times New Roman"/>
          <w:snapToGrid w:val="0"/>
          <w:sz w:val="32"/>
          <w:szCs w:val="32"/>
        </w:rPr>
        <w:t>，全面</w:t>
      </w:r>
      <w:r>
        <w:rPr>
          <w:rFonts w:hint="eastAsia" w:ascii="仿宋" w:hAnsi="仿宋" w:eastAsia="仿宋" w:cs="Times New Roman"/>
          <w:snapToGrid w:val="0"/>
          <w:sz w:val="32"/>
          <w:szCs w:val="32"/>
        </w:rPr>
        <w:t>推</w:t>
      </w:r>
      <w:r>
        <w:rPr>
          <w:rFonts w:ascii="仿宋" w:hAnsi="仿宋" w:eastAsia="仿宋" w:cs="Times New Roman"/>
          <w:snapToGrid w:val="0"/>
          <w:sz w:val="32"/>
          <w:szCs w:val="32"/>
        </w:rPr>
        <w:t>行公立</w:t>
      </w:r>
      <w:r>
        <w:rPr>
          <w:rFonts w:hint="eastAsia" w:ascii="仿宋" w:hAnsi="仿宋" w:eastAsia="仿宋" w:cs="Times New Roman"/>
          <w:snapToGrid w:val="0"/>
          <w:sz w:val="32"/>
          <w:szCs w:val="32"/>
        </w:rPr>
        <w:t>医疗机构间检查检验结果互认。</w:t>
      </w:r>
    </w:p>
    <w:p w14:paraId="10B10078">
      <w:pPr>
        <w:keepNext/>
        <w:keepLines/>
        <w:autoSpaceDE w:val="0"/>
        <w:autoSpaceDN w:val="0"/>
        <w:spacing w:before="156" w:beforeLines="50" w:line="360" w:lineRule="auto"/>
        <w:ind w:firstLine="643" w:firstLineChars="200"/>
        <w:outlineLvl w:val="1"/>
        <w:rPr>
          <w:rFonts w:ascii="仿宋" w:hAnsi="仿宋" w:eastAsia="仿宋" w:cs="Times New Roman"/>
          <w:b/>
          <w:sz w:val="32"/>
          <w:szCs w:val="32"/>
        </w:rPr>
      </w:pPr>
      <w:bookmarkStart w:id="166" w:name="_Toc235857867"/>
      <w:bookmarkStart w:id="167" w:name="_Toc237847430"/>
      <w:r>
        <w:rPr>
          <w:rFonts w:hint="eastAsia" w:ascii="仿宋" w:hAnsi="仿宋" w:eastAsia="仿宋" w:cs="Times New Roman"/>
          <w:b/>
          <w:sz w:val="32"/>
          <w:szCs w:val="32"/>
        </w:rPr>
        <w:t>（二）强基固本筑牢基层服务网底</w:t>
      </w:r>
      <w:bookmarkEnd w:id="166"/>
      <w:bookmarkEnd w:id="167"/>
    </w:p>
    <w:p w14:paraId="65965A82">
      <w:pPr>
        <w:autoSpaceDE w:val="0"/>
        <w:autoSpaceDN w:val="0"/>
        <w:spacing w:line="360" w:lineRule="auto"/>
        <w:ind w:firstLine="640" w:firstLineChars="200"/>
        <w:rPr>
          <w:rFonts w:ascii="仿宋" w:hAnsi="仿宋" w:eastAsia="仿宋" w:cs="Times New Roman"/>
          <w:snapToGrid w:val="0"/>
          <w:sz w:val="32"/>
          <w:szCs w:val="32"/>
        </w:rPr>
      </w:pPr>
      <w:r>
        <w:rPr>
          <w:rFonts w:hint="eastAsia" w:ascii="仿宋" w:hAnsi="仿宋" w:eastAsia="仿宋" w:cs="Times New Roman"/>
          <w:snapToGrid w:val="0"/>
          <w:sz w:val="32"/>
          <w:szCs w:val="32"/>
        </w:rPr>
        <w:t>深入实施医疗卫生强基工程，坚持“强基层、固网底、补短板、提效能”，以标准化建设、专业化队伍、精细化管理为抓手，依托优质资源下沉带动，织密基层医疗卫生服务网底，提升基层防病治病与健康管理能力。</w:t>
      </w:r>
    </w:p>
    <w:p w14:paraId="7099A45B">
      <w:pPr>
        <w:keepNext/>
        <w:keepLines/>
        <w:autoSpaceDE w:val="0"/>
        <w:autoSpaceDN w:val="0"/>
        <w:spacing w:line="360" w:lineRule="auto"/>
        <w:ind w:firstLine="643" w:firstLineChars="200"/>
        <w:outlineLvl w:val="2"/>
        <w:rPr>
          <w:rFonts w:ascii="仿宋" w:hAnsi="仿宋" w:eastAsia="仿宋" w:cs="Times New Roman Regular"/>
          <w:b/>
          <w:bCs/>
          <w:sz w:val="32"/>
          <w:szCs w:val="32"/>
        </w:rPr>
      </w:pPr>
      <w:r>
        <w:rPr>
          <w:rFonts w:hint="eastAsia" w:ascii="仿宋" w:hAnsi="仿宋" w:eastAsia="仿宋" w:cs="Times New Roman Regular"/>
          <w:b/>
          <w:bCs/>
          <w:sz w:val="32"/>
          <w:szCs w:val="32"/>
        </w:rPr>
        <w:t>1.优化基层资源布局与提升服务能力</w:t>
      </w:r>
    </w:p>
    <w:p w14:paraId="4967DE0F">
      <w:pPr>
        <w:autoSpaceDE w:val="0"/>
        <w:autoSpaceDN w:val="0"/>
        <w:spacing w:line="360" w:lineRule="auto"/>
        <w:ind w:firstLine="640" w:firstLineChars="200"/>
        <w:rPr>
          <w:rFonts w:ascii="仿宋" w:hAnsi="仿宋" w:eastAsia="仿宋" w:cs="Times New Roman"/>
          <w:snapToGrid w:val="0"/>
          <w:sz w:val="32"/>
          <w:szCs w:val="32"/>
        </w:rPr>
      </w:pPr>
      <w:r>
        <w:rPr>
          <w:rFonts w:hint="eastAsia" w:ascii="仿宋" w:hAnsi="仿宋" w:eastAsia="仿宋" w:cs="Times New Roman"/>
          <w:snapToGrid w:val="0"/>
          <w:sz w:val="32"/>
          <w:szCs w:val="32"/>
        </w:rPr>
        <w:t>深入开展“优质服务基层行”活动，全面推行样板乡（镇）卫生院和村卫生室建设,强化乡（镇）卫生院辅助检查能力，充分发挥既有设备效能。</w:t>
      </w:r>
    </w:p>
    <w:p w14:paraId="71D13C79">
      <w:pPr>
        <w:autoSpaceDE w:val="0"/>
        <w:autoSpaceDN w:val="0"/>
        <w:spacing w:line="360" w:lineRule="auto"/>
        <w:ind w:firstLine="640" w:firstLineChars="200"/>
        <w:rPr>
          <w:rFonts w:ascii="仿宋" w:hAnsi="仿宋" w:eastAsia="仿宋" w:cs="Times New Roman"/>
          <w:snapToGrid w:val="0"/>
          <w:sz w:val="32"/>
          <w:szCs w:val="32"/>
        </w:rPr>
      </w:pPr>
      <w:r>
        <w:rPr>
          <w:rFonts w:hint="eastAsia" w:ascii="仿宋" w:hAnsi="仿宋" w:eastAsia="仿宋" w:cs="Times New Roman"/>
          <w:snapToGrid w:val="0"/>
          <w:sz w:val="32"/>
          <w:szCs w:val="32"/>
        </w:rPr>
        <w:t>分类建设乡镇卫生院，在交通便利、人口极少的乡镇转型为“便民平价药房+基本公卫工作站+院前急救点”综合型健康驿站；在边远乡镇重点建设中心卫生院，强化急救与基本医疗功能。强化基层急诊急救配置，提升常见急症、急性高原病初步处置能力。实现乡镇卫生院藏医馆全覆盖，规范开展藏医适宜技术；支持有条件机构设置康复理疗室，培育基层特色科室。组建“全科+专科+公卫+藏医+村医”签约团队，扩大慢性病、老年人、孕产妇等重点人群签约覆盖率。</w:t>
      </w:r>
    </w:p>
    <w:p w14:paraId="081EBE4D">
      <w:pPr>
        <w:keepNext/>
        <w:keepLines/>
        <w:autoSpaceDE w:val="0"/>
        <w:autoSpaceDN w:val="0"/>
        <w:spacing w:line="360" w:lineRule="auto"/>
        <w:ind w:firstLine="643" w:firstLineChars="200"/>
        <w:outlineLvl w:val="2"/>
        <w:rPr>
          <w:rFonts w:ascii="仿宋" w:hAnsi="仿宋" w:eastAsia="仿宋" w:cs="Times New Roman Regular"/>
          <w:b/>
          <w:bCs/>
          <w:color w:val="FF0000"/>
          <w:sz w:val="32"/>
          <w:szCs w:val="32"/>
        </w:rPr>
      </w:pPr>
      <w:r>
        <w:rPr>
          <w:rFonts w:hint="eastAsia" w:ascii="仿宋" w:hAnsi="仿宋" w:eastAsia="仿宋" w:cs="Times New Roman Regular"/>
          <w:b/>
          <w:bCs/>
          <w:sz w:val="32"/>
          <w:szCs w:val="32"/>
        </w:rPr>
        <w:t>2.盘活基层闲置资产设备</w:t>
      </w:r>
    </w:p>
    <w:p w14:paraId="6EB7EBCC">
      <w:pPr>
        <w:autoSpaceDE w:val="0"/>
        <w:autoSpaceDN w:val="0"/>
        <w:spacing w:line="360" w:lineRule="auto"/>
        <w:ind w:firstLine="640" w:firstLineChars="200"/>
        <w:rPr>
          <w:rFonts w:ascii="仿宋" w:hAnsi="仿宋" w:eastAsia="仿宋" w:cs="Times New Roman"/>
          <w:snapToGrid w:val="0"/>
          <w:sz w:val="32"/>
          <w:szCs w:val="32"/>
        </w:rPr>
      </w:pPr>
      <w:r>
        <w:rPr>
          <w:rFonts w:hint="eastAsia" w:ascii="仿宋" w:hAnsi="仿宋" w:eastAsia="仿宋" w:cs="Times New Roman"/>
          <w:snapToGrid w:val="0"/>
          <w:sz w:val="32"/>
          <w:szCs w:val="32"/>
        </w:rPr>
        <w:t>清查基层资产底数。全面梳理基层机构房屋、设备、物资资产，建立动态管理台账，实现基层医疗资产“一张图”管理。建立设备共享平台。将连续闲置6个月以上设备纳入“共享池”统一调配，实行线上申请、就近划转，提升优质设备使用效率。无流转价值的废旧设备按规定处置变现，统筹用于设备更新与村医激励。</w:t>
      </w:r>
    </w:p>
    <w:p w14:paraId="10A4600B">
      <w:pPr>
        <w:keepNext/>
        <w:keepLines/>
        <w:autoSpaceDE w:val="0"/>
        <w:autoSpaceDN w:val="0"/>
        <w:spacing w:line="360" w:lineRule="auto"/>
        <w:ind w:firstLine="643" w:firstLineChars="200"/>
        <w:outlineLvl w:val="2"/>
        <w:rPr>
          <w:rFonts w:ascii="仿宋" w:hAnsi="仿宋" w:eastAsia="仿宋" w:cs="Times New Roman Regular"/>
          <w:b/>
          <w:bCs/>
          <w:sz w:val="32"/>
          <w:szCs w:val="32"/>
        </w:rPr>
      </w:pPr>
      <w:r>
        <w:rPr>
          <w:rFonts w:hint="eastAsia" w:ascii="仿宋" w:hAnsi="仿宋" w:eastAsia="仿宋" w:cs="Times New Roman Regular"/>
          <w:b/>
          <w:bCs/>
          <w:sz w:val="32"/>
          <w:szCs w:val="32"/>
        </w:rPr>
        <w:t>3.建强基层卫生人才队伍</w:t>
      </w:r>
    </w:p>
    <w:p w14:paraId="2ABBED17">
      <w:pPr>
        <w:autoSpaceDE w:val="0"/>
        <w:autoSpaceDN w:val="0"/>
        <w:spacing w:line="360" w:lineRule="auto"/>
        <w:ind w:firstLine="640" w:firstLineChars="200"/>
        <w:rPr>
          <w:rFonts w:ascii="仿宋" w:hAnsi="仿宋" w:eastAsia="仿宋" w:cs="Times New Roman"/>
          <w:snapToGrid w:val="0"/>
          <w:sz w:val="32"/>
          <w:szCs w:val="32"/>
        </w:rPr>
      </w:pPr>
      <w:r>
        <w:rPr>
          <w:rFonts w:hint="eastAsia" w:ascii="仿宋" w:hAnsi="仿宋" w:eastAsia="仿宋" w:cs="Times New Roman"/>
          <w:snapToGrid w:val="0"/>
          <w:sz w:val="32"/>
          <w:szCs w:val="32"/>
        </w:rPr>
        <w:t>完善基层用人机制。深化“县聘乡用、乡聘村用”模式，实行县级统一选聘、乡镇管理、村级使用。允许在不改变身份、不纳入编制管理、限定期限前提下，通过签订聘用合同方式，聘用本地或外地合格退休医务人员，担任乡（镇）卫生院负责人或充实人员力量；健全激励约束机制，将服务质量、群众满意度、设备使用率等纳入绩效考核指标并加强结果应用。</w:t>
      </w:r>
    </w:p>
    <w:p w14:paraId="676EFA84">
      <w:pPr>
        <w:autoSpaceDE w:val="0"/>
        <w:autoSpaceDN w:val="0"/>
        <w:spacing w:line="360" w:lineRule="auto"/>
        <w:ind w:firstLine="640" w:firstLineChars="200"/>
        <w:rPr>
          <w:rFonts w:ascii="仿宋" w:hAnsi="仿宋" w:eastAsia="仿宋" w:cs="Times New Roman"/>
          <w:snapToGrid w:val="0"/>
          <w:sz w:val="32"/>
          <w:szCs w:val="32"/>
        </w:rPr>
      </w:pPr>
      <w:r>
        <w:rPr>
          <w:rFonts w:hint="eastAsia" w:ascii="仿宋" w:hAnsi="仿宋" w:eastAsia="仿宋" w:cs="Times New Roman"/>
          <w:snapToGrid w:val="0"/>
          <w:sz w:val="32"/>
          <w:szCs w:val="32"/>
        </w:rPr>
        <w:t>有序实施村医选拔和退出工作，持续开展大学生村医选配事宜，鼓励乡村医生参加学历教育，到2035年力争实现乡村执业（助理）医师资格全覆盖。按照乡村一体化要求加强村医管理。对人口相对集中、地理位置邻近的行政村，探索合格村医包片服务并统筹使用村医补助模式。</w:t>
      </w:r>
    </w:p>
    <w:p w14:paraId="3117D744">
      <w:pPr>
        <w:autoSpaceDE w:val="0"/>
        <w:autoSpaceDN w:val="0"/>
        <w:spacing w:line="360" w:lineRule="auto"/>
        <w:ind w:firstLine="640" w:firstLineChars="200"/>
        <w:rPr>
          <w:rFonts w:ascii="仿宋" w:hAnsi="仿宋" w:eastAsia="仿宋" w:cs="Times New Roman"/>
          <w:snapToGrid w:val="0"/>
          <w:sz w:val="32"/>
          <w:szCs w:val="32"/>
        </w:rPr>
      </w:pPr>
      <w:r>
        <w:rPr>
          <w:rFonts w:hint="eastAsia" w:ascii="仿宋" w:hAnsi="仿宋" w:eastAsia="仿宋" w:cs="Times New Roman"/>
          <w:snapToGrid w:val="0"/>
          <w:sz w:val="32"/>
          <w:szCs w:val="32"/>
        </w:rPr>
        <w:t>加强能力提升培训。常态化开展基层适宜技术、慢性病防治、急诊急救实训，每年选派业务骨干赴市、县级医院进修，全面提升基层人员业务能力。</w:t>
      </w:r>
    </w:p>
    <w:p w14:paraId="3470EED3">
      <w:pPr>
        <w:keepNext/>
        <w:keepLines/>
        <w:autoSpaceDE w:val="0"/>
        <w:autoSpaceDN w:val="0"/>
        <w:spacing w:line="360" w:lineRule="auto"/>
        <w:ind w:firstLine="643" w:firstLineChars="200"/>
        <w:outlineLvl w:val="2"/>
        <w:rPr>
          <w:rFonts w:ascii="仿宋" w:hAnsi="仿宋" w:eastAsia="仿宋" w:cs="Times New Roman Regular"/>
          <w:b/>
          <w:bCs/>
          <w:sz w:val="32"/>
          <w:szCs w:val="32"/>
        </w:rPr>
      </w:pPr>
      <w:r>
        <w:rPr>
          <w:rFonts w:hint="eastAsia" w:ascii="仿宋" w:hAnsi="仿宋" w:eastAsia="仿宋" w:cs="Times New Roman Regular"/>
          <w:b/>
          <w:bCs/>
          <w:sz w:val="32"/>
          <w:szCs w:val="32"/>
        </w:rPr>
        <w:t>4.规范基层诊疗行为</w:t>
      </w:r>
    </w:p>
    <w:p w14:paraId="07B92366">
      <w:pPr>
        <w:autoSpaceDE w:val="0"/>
        <w:autoSpaceDN w:val="0"/>
        <w:spacing w:line="360" w:lineRule="auto"/>
        <w:ind w:firstLine="640" w:firstLineChars="200"/>
        <w:rPr>
          <w:rFonts w:ascii="仿宋" w:hAnsi="仿宋" w:eastAsia="仿宋" w:cs="Times New Roman"/>
          <w:snapToGrid w:val="0"/>
          <w:sz w:val="32"/>
          <w:szCs w:val="32"/>
        </w:rPr>
      </w:pPr>
      <w:r>
        <w:rPr>
          <w:rFonts w:hint="eastAsia" w:ascii="仿宋" w:hAnsi="仿宋" w:eastAsia="仿宋" w:cs="Times New Roman"/>
          <w:snapToGrid w:val="0"/>
          <w:sz w:val="32"/>
          <w:szCs w:val="32"/>
        </w:rPr>
        <w:t>推广适宜技术路径。筛选推广基层常见病、多发病适宜诊疗技术与藏医药适宜技术，推行常见病临床路径管理，提升诊疗规范性与同质化水平。</w:t>
      </w:r>
    </w:p>
    <w:p w14:paraId="42A5D95F">
      <w:pPr>
        <w:autoSpaceDE w:val="0"/>
        <w:autoSpaceDN w:val="0"/>
        <w:spacing w:line="360" w:lineRule="auto"/>
        <w:ind w:firstLine="640" w:firstLineChars="200"/>
        <w:rPr>
          <w:rFonts w:ascii="仿宋" w:hAnsi="仿宋" w:eastAsia="仿宋" w:cs="Times New Roman"/>
          <w:snapToGrid w:val="0"/>
          <w:sz w:val="32"/>
          <w:szCs w:val="32"/>
        </w:rPr>
      </w:pPr>
      <w:r>
        <w:rPr>
          <w:rFonts w:hint="eastAsia" w:ascii="仿宋" w:hAnsi="仿宋" w:eastAsia="仿宋" w:cs="Times New Roman"/>
          <w:snapToGrid w:val="0"/>
          <w:sz w:val="32"/>
          <w:szCs w:val="32"/>
        </w:rPr>
        <w:t>加强基层药事管理。完善基层药品供应保障机制，配齐常用药品与急救药品。强化基层医务人员合理用药培训，规范抗生素、激素类药物使用，保障基层用药安全。</w:t>
      </w:r>
    </w:p>
    <w:p w14:paraId="449EE14F">
      <w:pPr>
        <w:autoSpaceDE w:val="0"/>
        <w:autoSpaceDN w:val="0"/>
        <w:spacing w:line="360" w:lineRule="auto"/>
        <w:ind w:firstLine="640" w:firstLineChars="200"/>
        <w:rPr>
          <w:rFonts w:ascii="仿宋" w:hAnsi="仿宋" w:eastAsia="仿宋" w:cs="Times New Roman"/>
          <w:snapToGrid w:val="0"/>
          <w:sz w:val="32"/>
          <w:szCs w:val="32"/>
        </w:rPr>
      </w:pPr>
      <w:r>
        <w:rPr>
          <w:rFonts w:hint="eastAsia" w:ascii="仿宋" w:hAnsi="仿宋" w:eastAsia="仿宋" w:cs="Times New Roman"/>
          <w:snapToGrid w:val="0"/>
          <w:sz w:val="32"/>
          <w:szCs w:val="32"/>
        </w:rPr>
        <w:t>强化质量督导整改。推动市县质控体系向基层延伸，定期开展医疗质量巡查与专项指导，针对薄弱环节开展专项培训与整改，持续改进基层医疗服务质量。</w:t>
      </w:r>
    </w:p>
    <w:tbl>
      <w:tblPr>
        <w:tblStyle w:val="6"/>
        <w:tblW w:w="8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ECFF"/>
        <w:tblLayout w:type="fixed"/>
        <w:tblCellMar>
          <w:top w:w="0" w:type="dxa"/>
          <w:left w:w="108" w:type="dxa"/>
          <w:bottom w:w="0" w:type="dxa"/>
          <w:right w:w="108" w:type="dxa"/>
        </w:tblCellMar>
      </w:tblPr>
      <w:tblGrid>
        <w:gridCol w:w="8758"/>
      </w:tblGrid>
      <w:tr w14:paraId="7F761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ECFF"/>
          <w:tblCellMar>
            <w:top w:w="0" w:type="dxa"/>
            <w:left w:w="108" w:type="dxa"/>
            <w:bottom w:w="0" w:type="dxa"/>
            <w:right w:w="108" w:type="dxa"/>
          </w:tblCellMar>
        </w:tblPrEx>
        <w:trPr>
          <w:trHeight w:val="443" w:hRule="atLeast"/>
          <w:jc w:val="center"/>
        </w:trPr>
        <w:tc>
          <w:tcPr>
            <w:tcW w:w="8758" w:type="dxa"/>
            <w:tcBorders>
              <w:top w:val="single" w:color="auto" w:sz="4" w:space="0"/>
              <w:left w:val="single" w:color="auto" w:sz="4" w:space="0"/>
              <w:bottom w:val="single" w:color="auto" w:sz="4" w:space="0"/>
              <w:right w:val="single" w:color="auto" w:sz="4" w:space="0"/>
            </w:tcBorders>
            <w:shd w:val="clear" w:color="auto" w:fill="C6D9F1"/>
          </w:tcPr>
          <w:p w14:paraId="28FF4AF3">
            <w:pPr>
              <w:spacing w:line="400" w:lineRule="exact"/>
              <w:jc w:val="center"/>
              <w:rPr>
                <w:rFonts w:ascii="黑体" w:hAnsi="黑体" w:eastAsia="黑体" w:cs="Times New Roman"/>
                <w:sz w:val="24"/>
                <w:szCs w:val="24"/>
              </w:rPr>
            </w:pPr>
            <w:r>
              <w:rPr>
                <w:rFonts w:hint="eastAsia" w:ascii="黑体" w:hAnsi="黑体" w:eastAsia="黑体" w:cs="Times New Roman"/>
                <w:sz w:val="24"/>
                <w:szCs w:val="24"/>
              </w:rPr>
              <w:t>专栏3 健康保障项目提质扩容工程</w:t>
            </w:r>
          </w:p>
        </w:tc>
      </w:tr>
      <w:tr w14:paraId="3FF4E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ECFF"/>
          <w:tblCellMar>
            <w:top w:w="0" w:type="dxa"/>
            <w:left w:w="108" w:type="dxa"/>
            <w:bottom w:w="0" w:type="dxa"/>
            <w:right w:w="108" w:type="dxa"/>
          </w:tblCellMar>
        </w:tblPrEx>
        <w:trPr>
          <w:trHeight w:val="388" w:hRule="atLeast"/>
          <w:jc w:val="center"/>
        </w:trPr>
        <w:tc>
          <w:tcPr>
            <w:tcW w:w="8758" w:type="dxa"/>
            <w:shd w:val="clear" w:color="auto" w:fill="auto"/>
          </w:tcPr>
          <w:p w14:paraId="19113C1E">
            <w:pPr>
              <w:spacing w:line="360" w:lineRule="auto"/>
              <w:ind w:firstLine="422" w:firstLineChars="200"/>
              <w:rPr>
                <w:rFonts w:ascii="Times New Roman" w:hAnsi="Times New Roman" w:eastAsia="宋体" w:cs="Times New Roman"/>
                <w:szCs w:val="24"/>
              </w:rPr>
            </w:pPr>
            <w:r>
              <w:rPr>
                <w:rFonts w:hint="eastAsia" w:ascii="Calibri" w:hAnsi="Calibri" w:eastAsia="宋体" w:cs="Times New Roman"/>
                <w:b/>
                <w:szCs w:val="24"/>
              </w:rPr>
              <w:t>国家紧急医学救援基地建设项目。</w:t>
            </w:r>
            <w:r>
              <w:rPr>
                <w:rFonts w:hint="eastAsia" w:ascii="Calibri" w:hAnsi="Calibri" w:eastAsia="宋体" w:cs="Times New Roman"/>
                <w:szCs w:val="24"/>
              </w:rPr>
              <w:t>新建45</w:t>
            </w:r>
            <w:r>
              <w:rPr>
                <w:rFonts w:ascii="Times New Roman" w:hAnsi="Times New Roman" w:eastAsia="宋体" w:cs="Times New Roman"/>
                <w:szCs w:val="24"/>
              </w:rPr>
              <w:t>000平方米的国家紧急医学救援基地，配套完善门诊、急诊等功能用房，新建120调度指挥中心及仓库，同步实施室外电气、给排水、硬化、绿化及原有建筑拆除等附属工程。</w:t>
            </w:r>
          </w:p>
          <w:p w14:paraId="14904199">
            <w:pPr>
              <w:spacing w:line="360" w:lineRule="auto"/>
              <w:ind w:firstLine="422" w:firstLineChars="200"/>
              <w:rPr>
                <w:rFonts w:ascii="Times New Roman" w:hAnsi="Times New Roman" w:eastAsia="宋体" w:cs="Times New Roman"/>
                <w:szCs w:val="24"/>
              </w:rPr>
            </w:pPr>
            <w:r>
              <w:rPr>
                <w:rFonts w:ascii="Times New Roman" w:hAnsi="Times New Roman" w:eastAsia="宋体" w:cs="Times New Roman"/>
                <w:b/>
                <w:szCs w:val="24"/>
              </w:rPr>
              <w:t>市藏医院医技综合楼建设项目。</w:t>
            </w:r>
            <w:r>
              <w:rPr>
                <w:rFonts w:ascii="Times New Roman" w:hAnsi="Times New Roman" w:eastAsia="宋体" w:cs="Times New Roman"/>
                <w:szCs w:val="24"/>
              </w:rPr>
              <w:t>重点建设1</w:t>
            </w:r>
            <w:r>
              <w:rPr>
                <w:rFonts w:hint="eastAsia" w:ascii="Times New Roman" w:hAnsi="Times New Roman" w:eastAsia="宋体" w:cs="Times New Roman"/>
                <w:szCs w:val="24"/>
              </w:rPr>
              <w:t>7</w:t>
            </w:r>
            <w:r>
              <w:rPr>
                <w:rFonts w:ascii="Times New Roman" w:hAnsi="Times New Roman" w:eastAsia="宋体" w:cs="Times New Roman"/>
                <w:szCs w:val="24"/>
              </w:rPr>
              <w:t>000平方米的医技综合楼及附属设施，进一步拓展藏医院业务用房，提升藏医药诊疗和医技服务能力。</w:t>
            </w:r>
          </w:p>
          <w:p w14:paraId="2ABEE260">
            <w:pPr>
              <w:spacing w:line="360" w:lineRule="auto"/>
              <w:ind w:firstLine="422" w:firstLineChars="200"/>
              <w:rPr>
                <w:rFonts w:ascii="Times New Roman" w:hAnsi="Times New Roman" w:eastAsia="宋体" w:cs="Times New Roman"/>
                <w:szCs w:val="24"/>
              </w:rPr>
            </w:pPr>
            <w:r>
              <w:rPr>
                <w:rFonts w:ascii="Times New Roman" w:hAnsi="Times New Roman" w:eastAsia="宋体" w:cs="Times New Roman"/>
                <w:b/>
                <w:szCs w:val="24"/>
              </w:rPr>
              <w:t>林芝市康复医院建设项目。</w:t>
            </w:r>
            <w:r>
              <w:rPr>
                <w:rFonts w:ascii="Times New Roman" w:hAnsi="Times New Roman" w:eastAsia="宋体" w:cs="Times New Roman"/>
                <w:szCs w:val="24"/>
              </w:rPr>
              <w:t>规划建设业务用房12000平方米及配套附属设施，设置康复床位100张</w:t>
            </w:r>
            <w:r>
              <w:rPr>
                <w:rFonts w:hint="eastAsia" w:ascii="Times New Roman" w:hAnsi="Times New Roman" w:eastAsia="宋体" w:cs="Times New Roman"/>
                <w:szCs w:val="24"/>
              </w:rPr>
              <w:t>。</w:t>
            </w:r>
          </w:p>
          <w:p w14:paraId="0B081F1F">
            <w:pPr>
              <w:spacing w:line="360" w:lineRule="auto"/>
              <w:ind w:firstLine="422" w:firstLineChars="200"/>
              <w:rPr>
                <w:rFonts w:ascii="Times New Roman" w:hAnsi="Times New Roman" w:eastAsia="宋体" w:cs="Times New Roman"/>
                <w:szCs w:val="24"/>
              </w:rPr>
            </w:pPr>
            <w:r>
              <w:rPr>
                <w:rFonts w:ascii="Times New Roman" w:hAnsi="Times New Roman" w:eastAsia="宋体" w:cs="Times New Roman"/>
                <w:b/>
                <w:szCs w:val="24"/>
              </w:rPr>
              <w:t>市疾控中心病媒生物实验室项目。</w:t>
            </w:r>
            <w:r>
              <w:rPr>
                <w:rFonts w:ascii="Times New Roman" w:hAnsi="Times New Roman" w:eastAsia="宋体" w:cs="Times New Roman"/>
                <w:szCs w:val="24"/>
              </w:rPr>
              <w:t>规划建设</w:t>
            </w:r>
            <w:r>
              <w:rPr>
                <w:rFonts w:hint="eastAsia" w:ascii="Times New Roman" w:hAnsi="Times New Roman" w:eastAsia="宋体" w:cs="Times New Roman"/>
                <w:szCs w:val="24"/>
              </w:rPr>
              <w:t>32</w:t>
            </w:r>
            <w:r>
              <w:rPr>
                <w:rFonts w:ascii="Times New Roman" w:hAnsi="Times New Roman" w:eastAsia="宋体" w:cs="Times New Roman"/>
                <w:szCs w:val="24"/>
              </w:rPr>
              <w:t>00平方米的病媒生物实验室，配套购置相关设施设备，增强病媒生物监测与传染病病原检测能力。</w:t>
            </w:r>
          </w:p>
          <w:p w14:paraId="7E65B46B">
            <w:pPr>
              <w:spacing w:line="360" w:lineRule="auto"/>
              <w:ind w:firstLine="422" w:firstLineChars="200"/>
              <w:rPr>
                <w:rFonts w:ascii="Times New Roman" w:hAnsi="Times New Roman" w:eastAsia="宋体" w:cs="Times New Roman"/>
                <w:szCs w:val="24"/>
              </w:rPr>
            </w:pPr>
            <w:r>
              <w:rPr>
                <w:rFonts w:ascii="Times New Roman" w:hAnsi="Times New Roman" w:eastAsia="宋体" w:cs="Times New Roman"/>
                <w:b/>
                <w:szCs w:val="24"/>
              </w:rPr>
              <w:t>米林市普惠托育建设项目。</w:t>
            </w:r>
            <w:r>
              <w:rPr>
                <w:rFonts w:hint="eastAsia" w:ascii="Times New Roman" w:hAnsi="Times New Roman" w:eastAsia="宋体" w:cs="Times New Roman"/>
                <w:szCs w:val="24"/>
              </w:rPr>
              <w:t>新建</w:t>
            </w:r>
            <w:r>
              <w:rPr>
                <w:rFonts w:ascii="Times New Roman" w:hAnsi="Times New Roman" w:eastAsia="宋体" w:cs="Times New Roman"/>
                <w:szCs w:val="24"/>
              </w:rPr>
              <w:t>3000平方米的托育综合楼，设置120个托位，同步完善附属设施设备。</w:t>
            </w:r>
          </w:p>
          <w:p w14:paraId="3A27A0E3">
            <w:pPr>
              <w:spacing w:line="360" w:lineRule="auto"/>
              <w:ind w:firstLine="422" w:firstLineChars="200"/>
              <w:rPr>
                <w:rFonts w:ascii="Times New Roman" w:hAnsi="Times New Roman" w:eastAsia="方正仿宋_GBK" w:cs="Times New Roman"/>
                <w:szCs w:val="21"/>
              </w:rPr>
            </w:pPr>
            <w:r>
              <w:rPr>
                <w:rFonts w:hint="eastAsia" w:ascii="Times New Roman" w:hAnsi="Times New Roman" w:eastAsia="宋体" w:cs="Times New Roman"/>
                <w:b/>
                <w:szCs w:val="24"/>
              </w:rPr>
              <w:t>波密县普惠托育建设项目。</w:t>
            </w:r>
            <w:r>
              <w:rPr>
                <w:rFonts w:hint="eastAsia" w:ascii="Times New Roman" w:hAnsi="Times New Roman" w:eastAsia="宋体" w:cs="Times New Roman"/>
                <w:szCs w:val="24"/>
              </w:rPr>
              <w:t>新建2000平方米托育综合楼、90个托位及附属设施设备。</w:t>
            </w:r>
          </w:p>
        </w:tc>
      </w:tr>
    </w:tbl>
    <w:p w14:paraId="128B2A5B">
      <w:pPr>
        <w:autoSpaceDE w:val="0"/>
        <w:autoSpaceDN w:val="0"/>
        <w:spacing w:line="360" w:lineRule="auto"/>
        <w:ind w:firstLine="640" w:firstLineChars="200"/>
        <w:rPr>
          <w:rFonts w:ascii="仿宋" w:hAnsi="仿宋" w:eastAsia="仿宋" w:cs="Times New Roman"/>
          <w:snapToGrid w:val="0"/>
          <w:sz w:val="32"/>
          <w:szCs w:val="32"/>
        </w:rPr>
      </w:pPr>
    </w:p>
    <w:p w14:paraId="7EB6E28F">
      <w:pPr>
        <w:keepNext/>
        <w:keepLines/>
        <w:autoSpaceDE w:val="0"/>
        <w:autoSpaceDN w:val="0"/>
        <w:spacing w:before="156" w:beforeLines="50" w:line="360" w:lineRule="auto"/>
        <w:ind w:firstLine="643" w:firstLineChars="200"/>
        <w:outlineLvl w:val="1"/>
        <w:rPr>
          <w:rFonts w:ascii="仿宋" w:hAnsi="仿宋" w:eastAsia="仿宋" w:cs="Times New Roman Regular"/>
          <w:b/>
          <w:sz w:val="32"/>
          <w:szCs w:val="32"/>
        </w:rPr>
      </w:pPr>
      <w:bookmarkStart w:id="168" w:name="_Toc235857868"/>
      <w:bookmarkStart w:id="169" w:name="_Toc237847431"/>
      <w:r>
        <w:rPr>
          <w:rFonts w:ascii="仿宋" w:hAnsi="仿宋" w:eastAsia="仿宋" w:cs="Times New Roman Regular"/>
          <w:b/>
          <w:sz w:val="32"/>
          <w:szCs w:val="32"/>
        </w:rPr>
        <w:t>（三）注重对口援藏协作，</w:t>
      </w:r>
      <w:r>
        <w:rPr>
          <w:rFonts w:hint="eastAsia" w:ascii="仿宋" w:hAnsi="仿宋" w:eastAsia="仿宋" w:cs="Times New Roman Regular"/>
          <w:b/>
          <w:sz w:val="32"/>
          <w:szCs w:val="32"/>
        </w:rPr>
        <w:t>持续巩固乡村振兴</w:t>
      </w:r>
      <w:r>
        <w:rPr>
          <w:rFonts w:ascii="仿宋" w:hAnsi="仿宋" w:eastAsia="仿宋" w:cs="Times New Roman Regular"/>
          <w:b/>
          <w:sz w:val="32"/>
          <w:szCs w:val="32"/>
        </w:rPr>
        <w:t>成果</w:t>
      </w:r>
      <w:bookmarkEnd w:id="159"/>
      <w:bookmarkEnd w:id="160"/>
      <w:bookmarkEnd w:id="161"/>
      <w:bookmarkEnd w:id="162"/>
      <w:bookmarkEnd w:id="163"/>
      <w:bookmarkEnd w:id="164"/>
      <w:bookmarkEnd w:id="165"/>
      <w:bookmarkEnd w:id="168"/>
      <w:bookmarkEnd w:id="169"/>
    </w:p>
    <w:p w14:paraId="5C47F654">
      <w:pPr>
        <w:keepNext/>
        <w:keepLines/>
        <w:autoSpaceDE w:val="0"/>
        <w:autoSpaceDN w:val="0"/>
        <w:spacing w:line="360" w:lineRule="auto"/>
        <w:ind w:firstLine="643" w:firstLineChars="200"/>
        <w:outlineLvl w:val="2"/>
        <w:rPr>
          <w:rFonts w:ascii="仿宋" w:hAnsi="仿宋" w:eastAsia="仿宋" w:cs="Times New Roman Regular"/>
          <w:b/>
          <w:bCs/>
          <w:sz w:val="32"/>
          <w:szCs w:val="32"/>
        </w:rPr>
      </w:pPr>
      <w:r>
        <w:rPr>
          <w:rFonts w:ascii="仿宋" w:hAnsi="仿宋" w:eastAsia="仿宋" w:cs="Times New Roman Regular"/>
          <w:b/>
          <w:bCs/>
          <w:sz w:val="32"/>
          <w:szCs w:val="32"/>
        </w:rPr>
        <w:t>1.深化组团式对口援藏内涵与外延</w:t>
      </w:r>
    </w:p>
    <w:p w14:paraId="66E43B89">
      <w:pPr>
        <w:autoSpaceDE w:val="0"/>
        <w:autoSpaceDN w:val="0"/>
        <w:spacing w:line="360" w:lineRule="auto"/>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坚持“管理和技术两条腿走路”，突出援藏专家“抓管理、带队伍、传技术”职能定位，建立对口援藏成效评估机制。坚持合作共赢原则，积极探索医疗卫生援藏新模式。鼓励援藏力量向乡（镇）医疗机构延伸。依托广东优质资源，集中建设心脑血管类疾病学科集群，打造市人民医院高原心血管病治疗中心和眼科中心品牌。推动远程援藏常态化，依托互联网医院建立固定排班远程门诊、教学查房和病例讨论制度</w:t>
      </w:r>
      <w:r>
        <w:rPr>
          <w:rFonts w:ascii="仿宋" w:hAnsi="仿宋" w:eastAsia="仿宋" w:cs="Times New Roman Regular"/>
          <w:sz w:val="32"/>
          <w:szCs w:val="32"/>
        </w:rPr>
        <w:t>。</w:t>
      </w:r>
    </w:p>
    <w:p w14:paraId="67AADC49">
      <w:pPr>
        <w:keepNext/>
        <w:keepLines/>
        <w:autoSpaceDE w:val="0"/>
        <w:autoSpaceDN w:val="0"/>
        <w:spacing w:line="360" w:lineRule="auto"/>
        <w:ind w:firstLine="643" w:firstLineChars="200"/>
        <w:outlineLvl w:val="2"/>
        <w:rPr>
          <w:rFonts w:ascii="仿宋" w:hAnsi="仿宋" w:eastAsia="仿宋" w:cs="Times New Roman Regular"/>
          <w:b/>
          <w:bCs/>
          <w:sz w:val="32"/>
          <w:szCs w:val="32"/>
        </w:rPr>
      </w:pPr>
      <w:r>
        <w:rPr>
          <w:rFonts w:ascii="仿宋" w:hAnsi="仿宋" w:eastAsia="仿宋" w:cs="Times New Roman Regular"/>
          <w:b/>
          <w:bCs/>
          <w:sz w:val="32"/>
          <w:szCs w:val="32"/>
        </w:rPr>
        <w:t>2.建立防贫致贫长效机制</w:t>
      </w:r>
    </w:p>
    <w:p w14:paraId="1BECABC6">
      <w:pPr>
        <w:autoSpaceDE w:val="0"/>
        <w:autoSpaceDN w:val="0"/>
        <w:spacing w:line="360" w:lineRule="auto"/>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巩固脱贫攻坚成果与乡村振兴成效，健全防止因病返贫致贫动态监测和精准帮扶机制。依托健康大数据平台，对脱贫人口开展动态监测，重点锁定地方病及重特大疾病患者，实行“先诊疗后付费”“一站式”结算，确保综合保障政策覆盖率100%。发挥大学生村医作用，对脱贫户慢病患者实施常态化精准管理，AI辅助随访系统定期推送提醒。</w:t>
      </w:r>
    </w:p>
    <w:p w14:paraId="70ADB5D1">
      <w:pPr>
        <w:autoSpaceDE w:val="0"/>
        <w:autoSpaceDN w:val="0"/>
        <w:spacing w:line="360" w:lineRule="auto"/>
        <w:ind w:firstLine="643" w:firstLineChars="200"/>
        <w:rPr>
          <w:rFonts w:ascii="仿宋" w:hAnsi="仿宋" w:eastAsia="仿宋" w:cs="Times New Roman Regular"/>
          <w:b/>
          <w:bCs/>
          <w:sz w:val="32"/>
          <w:szCs w:val="32"/>
        </w:rPr>
      </w:pPr>
      <w:r>
        <w:rPr>
          <w:rFonts w:ascii="仿宋" w:hAnsi="仿宋" w:eastAsia="仿宋" w:cs="Times New Roman Regular"/>
          <w:b/>
          <w:bCs/>
          <w:sz w:val="32"/>
          <w:szCs w:val="32"/>
        </w:rPr>
        <w:t>3.完善医疗救助兜底保障政策</w:t>
      </w:r>
    </w:p>
    <w:p w14:paraId="7521A3AD">
      <w:pPr>
        <w:autoSpaceDE w:val="0"/>
        <w:autoSpaceDN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统筹基本医保、大病保险、医疗救助三重制度，对特困、低保对象实行倾斜性救助。鼓励开发普惠型补充保险，重点报销目录外创新药、高值耗材。稳步推进与高原慢病高发特征相匹配的长期护理保险制度试点，实行“个人缴费+医保统筹+财政补助”三方筹资，逐步扩大基本医保参保人员覆盖面，稳妥实现“病有所医”向“病有所护”升级。</w:t>
      </w:r>
    </w:p>
    <w:p w14:paraId="3BDE1B9D"/>
    <w:p w14:paraId="17C9C4A0">
      <w:pPr>
        <w:keepNext/>
        <w:keepLines/>
        <w:autoSpaceDE w:val="0"/>
        <w:autoSpaceDN w:val="0"/>
        <w:spacing w:line="360" w:lineRule="auto"/>
        <w:ind w:firstLine="643" w:firstLineChars="200"/>
        <w:jc w:val="left"/>
        <w:outlineLvl w:val="0"/>
        <w:rPr>
          <w:rFonts w:ascii="黑体" w:hAnsi="黑体" w:eastAsia="黑体" w:cs="Times New Roman"/>
          <w:b/>
          <w:kern w:val="44"/>
          <w:sz w:val="32"/>
          <w:szCs w:val="32"/>
        </w:rPr>
      </w:pPr>
      <w:bookmarkStart w:id="170" w:name="_Toc229475491"/>
      <w:bookmarkStart w:id="171" w:name="_Toc237847432"/>
      <w:bookmarkStart w:id="172" w:name="_Toc225259880"/>
      <w:bookmarkStart w:id="173" w:name="_Toc235857869"/>
      <w:bookmarkStart w:id="174" w:name="_Toc225367692"/>
      <w:bookmarkStart w:id="175" w:name="_Toc225259809"/>
      <w:r>
        <w:rPr>
          <w:rFonts w:ascii="黑体" w:hAnsi="黑体" w:eastAsia="黑体" w:cs="Times New Roman"/>
          <w:b/>
          <w:kern w:val="44"/>
          <w:sz w:val="32"/>
          <w:szCs w:val="32"/>
        </w:rPr>
        <w:t>六</w:t>
      </w:r>
      <w:r>
        <w:rPr>
          <w:rFonts w:hint="eastAsia" w:ascii="黑体" w:hAnsi="黑体" w:eastAsia="黑体" w:cs="Times New Roman"/>
          <w:b/>
          <w:kern w:val="44"/>
          <w:sz w:val="32"/>
          <w:szCs w:val="32"/>
        </w:rPr>
        <w:t>、</w:t>
      </w:r>
      <w:r>
        <w:rPr>
          <w:rFonts w:ascii="黑体" w:hAnsi="黑体" w:eastAsia="黑体" w:cs="Times New Roman"/>
          <w:b/>
          <w:kern w:val="44"/>
          <w:sz w:val="32"/>
          <w:szCs w:val="32"/>
        </w:rPr>
        <w:t>推动藏医药振兴发展</w:t>
      </w:r>
      <w:bookmarkEnd w:id="170"/>
      <w:bookmarkEnd w:id="171"/>
      <w:bookmarkEnd w:id="172"/>
      <w:bookmarkEnd w:id="173"/>
      <w:bookmarkEnd w:id="174"/>
      <w:bookmarkEnd w:id="175"/>
    </w:p>
    <w:p w14:paraId="6882F58D">
      <w:pPr>
        <w:keepNext/>
        <w:keepLines/>
        <w:autoSpaceDE w:val="0"/>
        <w:autoSpaceDN w:val="0"/>
        <w:spacing w:before="156" w:beforeLines="50" w:line="360" w:lineRule="auto"/>
        <w:ind w:firstLine="643" w:firstLineChars="200"/>
        <w:outlineLvl w:val="1"/>
        <w:rPr>
          <w:rFonts w:ascii="仿宋" w:hAnsi="仿宋" w:eastAsia="仿宋" w:cs="Times New Roman"/>
          <w:b/>
          <w:sz w:val="32"/>
          <w:szCs w:val="32"/>
        </w:rPr>
      </w:pPr>
      <w:bookmarkStart w:id="176" w:name="_Toc225367693"/>
      <w:bookmarkStart w:id="177" w:name="_Toc229475492"/>
      <w:bookmarkStart w:id="178" w:name="_Toc225259881"/>
      <w:bookmarkStart w:id="179" w:name="_Toc235857870"/>
      <w:bookmarkStart w:id="180" w:name="_Toc225259810"/>
      <w:bookmarkStart w:id="181" w:name="_Toc237847433"/>
      <w:r>
        <w:rPr>
          <w:rFonts w:hint="eastAsia" w:ascii="仿宋" w:hAnsi="仿宋" w:eastAsia="仿宋" w:cs="Times New Roman"/>
          <w:b/>
          <w:sz w:val="32"/>
          <w:szCs w:val="32"/>
        </w:rPr>
        <w:t>（一）健全藏医药</w:t>
      </w:r>
      <w:bookmarkEnd w:id="176"/>
      <w:bookmarkEnd w:id="177"/>
      <w:bookmarkEnd w:id="178"/>
      <w:bookmarkEnd w:id="179"/>
      <w:bookmarkEnd w:id="180"/>
      <w:r>
        <w:rPr>
          <w:rFonts w:hint="eastAsia" w:ascii="仿宋" w:hAnsi="仿宋" w:eastAsia="仿宋" w:cs="Times New Roman"/>
          <w:b/>
          <w:sz w:val="32"/>
          <w:szCs w:val="32"/>
        </w:rPr>
        <w:t>领域议事机制</w:t>
      </w:r>
      <w:bookmarkEnd w:id="181"/>
    </w:p>
    <w:p w14:paraId="0AAC345F"/>
    <w:p w14:paraId="3FF3E2AF">
      <w:pPr>
        <w:adjustRightInd w:val="0"/>
        <w:snapToGrid w:val="0"/>
        <w:spacing w:line="360" w:lineRule="auto"/>
        <w:ind w:firstLine="643" w:firstLineChars="200"/>
        <w:rPr>
          <w:rFonts w:ascii="仿宋" w:hAnsi="仿宋" w:eastAsia="仿宋" w:cs="Times New Roman"/>
          <w:sz w:val="32"/>
          <w:szCs w:val="32"/>
        </w:rPr>
      </w:pPr>
      <w:r>
        <w:rPr>
          <w:rFonts w:hint="eastAsia" w:ascii="仿宋" w:hAnsi="仿宋" w:eastAsia="仿宋" w:cs="Times New Roman"/>
          <w:b/>
          <w:bCs/>
          <w:sz w:val="32"/>
          <w:szCs w:val="32"/>
        </w:rPr>
        <w:t>建立跨部门协调机制。</w:t>
      </w:r>
      <w:r>
        <w:rPr>
          <w:rFonts w:hint="eastAsia" w:ascii="仿宋" w:hAnsi="仿宋" w:eastAsia="仿宋" w:cs="Times New Roman"/>
          <w:sz w:val="32"/>
          <w:szCs w:val="32"/>
        </w:rPr>
        <w:t>明确藏医药在全市经济社会发展中的地位和作用</w:t>
      </w:r>
      <w:r>
        <w:rPr>
          <w:rFonts w:hint="eastAsia" w:ascii="仿宋" w:hAnsi="仿宋" w:eastAsia="仿宋" w:cs="Times New Roman"/>
          <w:color w:val="000000" w:themeColor="text1"/>
          <w:sz w:val="32"/>
          <w:szCs w:val="32"/>
          <w14:textFill>
            <w14:solidFill>
              <w14:schemeClr w14:val="tx1"/>
            </w14:solidFill>
          </w14:textFill>
        </w:rPr>
        <w:t>，</w:t>
      </w:r>
      <w:r>
        <w:rPr>
          <w:rFonts w:hint="eastAsia" w:ascii="仿宋" w:hAnsi="仿宋" w:eastAsia="仿宋" w:cs="Times New Roman"/>
          <w:sz w:val="32"/>
          <w:szCs w:val="32"/>
        </w:rPr>
        <w:t>在资金、人才、用地等方面给予政策支持。建立跨部门议事的联席会议制度，定期会商藏医药发展有关问题。各成员单位须由专职领导担任联络员，确保政策措施协同与任务落实。</w:t>
      </w:r>
    </w:p>
    <w:p w14:paraId="157464A5">
      <w:pPr>
        <w:keepNext/>
        <w:keepLines/>
        <w:autoSpaceDE w:val="0"/>
        <w:autoSpaceDN w:val="0"/>
        <w:spacing w:before="156" w:beforeLines="50" w:line="360" w:lineRule="auto"/>
        <w:ind w:firstLine="643" w:firstLineChars="200"/>
        <w:outlineLvl w:val="1"/>
        <w:rPr>
          <w:rFonts w:ascii="仿宋" w:hAnsi="仿宋" w:eastAsia="仿宋" w:cs="Times New Roman"/>
          <w:b/>
          <w:sz w:val="32"/>
          <w:szCs w:val="32"/>
        </w:rPr>
      </w:pPr>
      <w:bookmarkStart w:id="182" w:name="_Toc235857871"/>
      <w:bookmarkStart w:id="183" w:name="_Toc225367694"/>
      <w:bookmarkStart w:id="184" w:name="_Toc229475493"/>
      <w:bookmarkStart w:id="185" w:name="_Toc225259811"/>
      <w:bookmarkStart w:id="186" w:name="_Toc225259882"/>
      <w:bookmarkStart w:id="187" w:name="_Toc237847434"/>
      <w:r>
        <w:rPr>
          <w:rFonts w:hint="eastAsia" w:ascii="仿宋" w:hAnsi="仿宋" w:eastAsia="仿宋" w:cs="Times New Roman"/>
          <w:b/>
          <w:sz w:val="32"/>
          <w:szCs w:val="32"/>
        </w:rPr>
        <w:t>（二）强化藏医药服务体系</w:t>
      </w:r>
      <w:bookmarkEnd w:id="182"/>
      <w:bookmarkEnd w:id="183"/>
      <w:bookmarkEnd w:id="184"/>
      <w:bookmarkEnd w:id="185"/>
      <w:bookmarkEnd w:id="186"/>
      <w:bookmarkEnd w:id="187"/>
    </w:p>
    <w:p w14:paraId="69E97F02">
      <w:pPr>
        <w:keepNext/>
        <w:keepLines/>
        <w:autoSpaceDE w:val="0"/>
        <w:autoSpaceDN w:val="0"/>
        <w:spacing w:line="360" w:lineRule="auto"/>
        <w:ind w:firstLine="643" w:firstLineChars="200"/>
        <w:outlineLvl w:val="2"/>
        <w:rPr>
          <w:rFonts w:ascii="仿宋" w:hAnsi="仿宋" w:eastAsia="仿宋" w:cs="Times New Roman"/>
          <w:b/>
          <w:bCs/>
          <w:sz w:val="32"/>
          <w:szCs w:val="32"/>
        </w:rPr>
      </w:pPr>
      <w:r>
        <w:rPr>
          <w:rFonts w:hint="eastAsia" w:ascii="仿宋" w:hAnsi="仿宋" w:eastAsia="仿宋" w:cs="Times New Roman"/>
          <w:b/>
          <w:bCs/>
          <w:sz w:val="32"/>
          <w:szCs w:val="32"/>
        </w:rPr>
        <w:t>1.健全藏医药医疗网络</w:t>
      </w:r>
    </w:p>
    <w:p w14:paraId="0E9F7F89">
      <w:pPr>
        <w:adjustRightInd w:val="0"/>
        <w:snapToGrid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以“龙头引领、协同联动、基层覆盖”为主线，实施市县两级藏医院提档升级。做强龙头机构市藏医院，持续提升服务能级。支持其创建“三甲”藏医院，按三级民族医医院标准升级基础设施与功能，提升疑难重症诊疗能力，打造区域藏医药诊疗与技术指导中心。各区县（市）藏医院创建二级以上藏医院，建设标准藏医诊室、特色治疗室。持续推进乡镇卫生院藏医馆建设，全面开展藏医药服务。</w:t>
      </w:r>
      <w:r>
        <w:rPr>
          <w:rFonts w:hint="eastAsia" w:ascii="仿宋" w:hAnsi="仿宋" w:eastAsia="仿宋" w:cs="Times New Roman"/>
          <w:color w:val="000000" w:themeColor="text1"/>
          <w:sz w:val="32"/>
          <w:szCs w:val="32"/>
          <w14:textFill>
            <w14:solidFill>
              <w14:schemeClr w14:val="tx1"/>
            </w14:solidFill>
          </w14:textFill>
        </w:rPr>
        <w:t>以建立村卫生室藏医阁为依托促进藏医药技术向村级延伸，</w:t>
      </w:r>
      <w:r>
        <w:rPr>
          <w:rFonts w:hint="eastAsia" w:ascii="仿宋" w:hAnsi="仿宋" w:eastAsia="仿宋" w:cs="Times New Roman"/>
          <w:sz w:val="32"/>
          <w:szCs w:val="32"/>
        </w:rPr>
        <w:t>让群众在“家门口”享有“简便验廉”的藏医药服务。构建“市藏医院+县级藏医院+乡镇藏医馆+村卫生室”的覆盖城乡的四级服务网络。</w:t>
      </w:r>
    </w:p>
    <w:p w14:paraId="7E685251">
      <w:pPr>
        <w:keepNext/>
        <w:keepLines/>
        <w:autoSpaceDE w:val="0"/>
        <w:autoSpaceDN w:val="0"/>
        <w:spacing w:line="360" w:lineRule="auto"/>
        <w:ind w:firstLine="643" w:firstLineChars="200"/>
        <w:outlineLvl w:val="2"/>
        <w:rPr>
          <w:rFonts w:ascii="仿宋" w:hAnsi="仿宋" w:eastAsia="仿宋" w:cs="Times New Roman"/>
          <w:b/>
          <w:bCs/>
          <w:sz w:val="32"/>
          <w:szCs w:val="32"/>
        </w:rPr>
      </w:pPr>
      <w:r>
        <w:rPr>
          <w:rFonts w:hint="eastAsia" w:ascii="仿宋" w:hAnsi="仿宋" w:eastAsia="仿宋" w:cs="Times New Roman"/>
          <w:b/>
          <w:bCs/>
          <w:sz w:val="32"/>
          <w:szCs w:val="32"/>
        </w:rPr>
        <w:t>2、完善藏医药特色服务能力</w:t>
      </w:r>
    </w:p>
    <w:p w14:paraId="78D7F83F">
      <w:pPr>
        <w:adjustRightInd w:val="0"/>
        <w:snapToGrid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提高藏医药防病治病能力，加强市、县级藏医院内涵建设，支持藏医特色重点专科建设与发展。针对性地建设藏医药优势病种诊疗中心，开展临床研究，提高诊疗效果，打造医疗品牌。推广针灸、药浴、</w:t>
      </w:r>
      <w:r>
        <w:rPr>
          <w:rFonts w:hint="eastAsia" w:ascii="仿宋" w:hAnsi="仿宋" w:eastAsia="仿宋" w:cs="Times New Roman"/>
          <w:color w:val="000000" w:themeColor="text1"/>
          <w:sz w:val="32"/>
          <w:szCs w:val="32"/>
          <w14:textFill>
            <w14:solidFill>
              <w14:schemeClr w14:val="tx1"/>
            </w14:solidFill>
          </w14:textFill>
        </w:rPr>
        <w:t>火灸、</w:t>
      </w:r>
      <w:r>
        <w:rPr>
          <w:rFonts w:hint="eastAsia" w:ascii="仿宋" w:hAnsi="仿宋" w:eastAsia="仿宋" w:cs="Times New Roman"/>
          <w:sz w:val="32"/>
          <w:szCs w:val="32"/>
        </w:rPr>
        <w:t>煳尔美疗法、浆隆疗法、能秀疗法等藏医特色疗法、康复特色疗法在基层医疗机构应用。提高药事服务能力，加强各级医疗机构藏药房建设。制定符合藏医特色和实际的院内制剂室建设和管理标准，推动市藏医院制剂中心规范化、现代化、产业化，各县区不再建设制剂中心。支持特色明显、安全有效的医疗机构藏药制剂的开发应用。落实传统工艺制剂备案管理政策，优化跨机构、跨区域使用流程，扩大应用范围。推进制备藏药的标准化、精细化管理，推动藏药申报国药准字号。</w:t>
      </w:r>
    </w:p>
    <w:p w14:paraId="204AD40A">
      <w:pPr>
        <w:keepNext/>
        <w:keepLines/>
        <w:autoSpaceDE w:val="0"/>
        <w:autoSpaceDN w:val="0"/>
        <w:spacing w:before="156" w:beforeLines="50" w:line="360" w:lineRule="auto"/>
        <w:ind w:firstLine="643" w:firstLineChars="200"/>
        <w:outlineLvl w:val="1"/>
        <w:rPr>
          <w:rFonts w:ascii="仿宋" w:hAnsi="仿宋" w:eastAsia="仿宋" w:cs="Times New Roman"/>
          <w:b/>
          <w:sz w:val="32"/>
          <w:szCs w:val="32"/>
        </w:rPr>
      </w:pPr>
      <w:bookmarkStart w:id="188" w:name="_Toc237847435"/>
      <w:bookmarkStart w:id="189" w:name="_Toc225367695"/>
      <w:bookmarkStart w:id="190" w:name="_Toc229475494"/>
      <w:bookmarkStart w:id="191" w:name="_Toc235857872"/>
      <w:bookmarkStart w:id="192" w:name="_Toc225259883"/>
      <w:bookmarkStart w:id="193" w:name="_Toc225259812"/>
      <w:r>
        <w:rPr>
          <w:rFonts w:hint="eastAsia" w:ascii="仿宋" w:hAnsi="仿宋" w:eastAsia="仿宋" w:cs="Times New Roman"/>
          <w:b/>
          <w:sz w:val="32"/>
          <w:szCs w:val="32"/>
        </w:rPr>
        <w:t>（三）加快藏医药传承创新发展</w:t>
      </w:r>
      <w:bookmarkEnd w:id="188"/>
      <w:bookmarkEnd w:id="189"/>
      <w:bookmarkEnd w:id="190"/>
      <w:bookmarkEnd w:id="191"/>
      <w:bookmarkEnd w:id="192"/>
      <w:bookmarkEnd w:id="193"/>
    </w:p>
    <w:p w14:paraId="18FCA95C">
      <w:pPr>
        <w:keepNext/>
        <w:keepLines/>
        <w:autoSpaceDE w:val="0"/>
        <w:autoSpaceDN w:val="0"/>
        <w:spacing w:line="360" w:lineRule="auto"/>
        <w:ind w:firstLine="643" w:firstLineChars="200"/>
        <w:outlineLvl w:val="2"/>
        <w:rPr>
          <w:rFonts w:ascii="仿宋" w:hAnsi="仿宋" w:eastAsia="仿宋" w:cs="Times New Roman"/>
          <w:b/>
          <w:bCs/>
          <w:sz w:val="32"/>
          <w:szCs w:val="32"/>
        </w:rPr>
      </w:pPr>
      <w:r>
        <w:rPr>
          <w:rFonts w:hint="eastAsia" w:ascii="仿宋" w:hAnsi="仿宋" w:eastAsia="仿宋" w:cs="Times New Roman"/>
          <w:b/>
          <w:bCs/>
          <w:sz w:val="32"/>
          <w:szCs w:val="32"/>
        </w:rPr>
        <w:t>1.提升藏医药科研水平</w:t>
      </w:r>
    </w:p>
    <w:p w14:paraId="54833117">
      <w:pPr>
        <w:adjustRightInd w:val="0"/>
        <w:snapToGrid w:val="0"/>
        <w:spacing w:line="360" w:lineRule="auto"/>
        <w:ind w:firstLine="640" w:firstLineChars="200"/>
        <w:rPr>
          <w:rFonts w:ascii="仿宋" w:hAnsi="仿宋" w:eastAsia="仿宋" w:cs="Times New Roman"/>
          <w:color w:val="FF0000"/>
          <w:sz w:val="32"/>
          <w:szCs w:val="32"/>
        </w:rPr>
      </w:pPr>
      <w:r>
        <w:rPr>
          <w:rFonts w:hint="eastAsia" w:ascii="仿宋" w:hAnsi="仿宋" w:eastAsia="仿宋" w:cs="Times New Roman"/>
          <w:sz w:val="32"/>
          <w:szCs w:val="32"/>
        </w:rPr>
        <w:t>开展藏医药防治优势病种的诊疗方案规范化、临床评价及药学研究，形成规范实用的评价标准。促进藏医药医疗、保健、康复特色诊疗技术的临床研究。搜集民间传统经验方、藏医古籍文献，进行系统化、规范化研发，形成新的制剂或诊疗技术，制定相关技术规范和评价标准。开展藏药研发攻关，聚焦疑难杂症和“四大慢病”、新发突发传染病、运动系统疾病，加强藏药制剂、名医验方、特色外用制剂等挖掘和转化，研发具有地方特色的新制剂、新药物，争取国家药品登记证书。开展藏药炮制工艺、制剂技术等关键技术研究，形成相关技术规范。加强藏医药特色传统诊疗器具及设备的规范化与推广应用，开展创新研发、功能改进，形成一批具备产业化前景的产品。推进具备体系化医学理论的藏医药标准化建设，制定藏医药名词术语、病证分类、临床诊疗指南、技术操作规程等标准。开展理论体系尚不完整的藏医药探索性规范化研究。</w:t>
      </w:r>
    </w:p>
    <w:p w14:paraId="573582F5">
      <w:pPr>
        <w:adjustRightInd w:val="0"/>
        <w:snapToGrid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探索多学科、跨部门的协同创新机制，加强与中（藏）医药大学、自治区藏医院等院校的合作，开展藏药有效性、安全性、炮制工艺等研究，提升科技含量。鼓励其他相关机构参与藏医药研究。加强知识产权保护，加大宣传力度，有效保护藏医药及其创新成果。支持藏医药科研成果转化，促进创新技术与产品产业化发展。</w:t>
      </w:r>
    </w:p>
    <w:p w14:paraId="672E0007">
      <w:pPr>
        <w:adjustRightInd w:val="0"/>
        <w:snapToGrid w:val="0"/>
        <w:spacing w:line="360" w:lineRule="auto"/>
        <w:ind w:firstLine="640" w:firstLineChars="200"/>
        <w:rPr>
          <w:rFonts w:ascii="仿宋" w:hAnsi="仿宋" w:eastAsia="仿宋" w:cs="Times New Roman"/>
          <w:sz w:val="32"/>
          <w:szCs w:val="32"/>
        </w:rPr>
      </w:pPr>
      <w:r>
        <w:rPr>
          <w:rFonts w:ascii="仿宋" w:hAnsi="仿宋" w:eastAsia="仿宋" w:cs="Times New Roman"/>
          <w:sz w:val="32"/>
          <w:szCs w:val="32"/>
        </w:rPr>
        <w:t>支持市藏医院联合区内外高水平医疗机构和高等院校，共同建设藏医药临床研究基地、</w:t>
      </w:r>
      <w:r>
        <w:rPr>
          <w:rFonts w:hint="eastAsia" w:ascii="仿宋" w:hAnsi="仿宋" w:eastAsia="仿宋" w:cs="Times New Roman"/>
          <w:sz w:val="32"/>
          <w:szCs w:val="32"/>
        </w:rPr>
        <w:t>药品</w:t>
      </w:r>
      <w:r>
        <w:rPr>
          <w:rFonts w:ascii="仿宋" w:hAnsi="仿宋" w:eastAsia="仿宋" w:cs="Times New Roman"/>
          <w:sz w:val="32"/>
          <w:szCs w:val="32"/>
        </w:rPr>
        <w:t>制剂检验监测中心和传承创新中心。聚焦防治重大疾病、慢性病，藏药新药、院内制剂</w:t>
      </w:r>
      <w:r>
        <w:rPr>
          <w:rFonts w:hint="eastAsia" w:ascii="仿宋" w:hAnsi="仿宋" w:eastAsia="仿宋" w:cs="Times New Roman"/>
          <w:sz w:val="32"/>
          <w:szCs w:val="32"/>
        </w:rPr>
        <w:t>和</w:t>
      </w:r>
      <w:r>
        <w:rPr>
          <w:rFonts w:ascii="仿宋" w:hAnsi="仿宋" w:eastAsia="仿宋" w:cs="Times New Roman"/>
          <w:sz w:val="32"/>
          <w:szCs w:val="32"/>
        </w:rPr>
        <w:t>特色诊疗技术研发</w:t>
      </w:r>
      <w:r>
        <w:rPr>
          <w:rFonts w:hint="eastAsia" w:ascii="仿宋" w:hAnsi="仿宋" w:eastAsia="仿宋" w:cs="Times New Roman"/>
          <w:sz w:val="32"/>
          <w:szCs w:val="32"/>
        </w:rPr>
        <w:t>，</w:t>
      </w:r>
      <w:r>
        <w:rPr>
          <w:rFonts w:ascii="仿宋" w:hAnsi="仿宋" w:eastAsia="仿宋" w:cs="Times New Roman"/>
          <w:sz w:val="32"/>
          <w:szCs w:val="32"/>
        </w:rPr>
        <w:t>开展高水平临床研究、技术攻关和人才培养。</w:t>
      </w:r>
    </w:p>
    <w:p w14:paraId="0041A846">
      <w:pPr>
        <w:keepNext/>
        <w:keepLines/>
        <w:autoSpaceDE w:val="0"/>
        <w:autoSpaceDN w:val="0"/>
        <w:spacing w:line="360" w:lineRule="auto"/>
        <w:ind w:firstLine="643" w:firstLineChars="200"/>
        <w:outlineLvl w:val="2"/>
        <w:rPr>
          <w:rFonts w:ascii="仿宋" w:hAnsi="仿宋" w:eastAsia="仿宋" w:cs="Times New Roman"/>
          <w:b/>
          <w:bCs/>
          <w:sz w:val="32"/>
          <w:szCs w:val="32"/>
        </w:rPr>
      </w:pPr>
      <w:r>
        <w:rPr>
          <w:rFonts w:hint="eastAsia" w:ascii="仿宋" w:hAnsi="仿宋" w:eastAsia="仿宋" w:cs="Times New Roman"/>
          <w:b/>
          <w:bCs/>
          <w:sz w:val="32"/>
          <w:szCs w:val="32"/>
        </w:rPr>
        <w:t>2.支持藏医药资源挖掘与现代科技融合创新</w:t>
      </w:r>
    </w:p>
    <w:p w14:paraId="0E3247E4">
      <w:pPr>
        <w:adjustRightInd w:val="0"/>
        <w:snapToGrid w:val="0"/>
        <w:spacing w:line="360" w:lineRule="auto"/>
        <w:ind w:firstLine="640" w:firstLineChars="20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sz w:val="32"/>
          <w:szCs w:val="32"/>
        </w:rPr>
        <w:t>系统开展藏医药古籍文献、经典方剂、特色疗法的普查、整理、出版与数字化，建立权威的藏医药古籍文献数据库，促进藏医药传承。实施藏医药文献抢救性发掘整理工程，对藏医药及天文历算古籍文献、经典名方、名老藏医学术思想、临床经验、民间特色技术进行系统挖掘、校勘与数字化保存。加强藏医药文化保护与传承，开展南派藏医药文化遗产调查，对濒危藏医药文物、遗迹实施抢救性保护，将经典典籍列入文化保护名录。加强区域特色饮片和炮制技术的挖掘、整理、传承工作，开展藏药炮制专项培训，邀请国家级非遗传承人等专家指导和传承核心技艺。推动藏医药学术传承项目和传承人遴选工作，提供成长条件。支持运用现代药理学、毒理学、分子生物学、制剂学等科学方法，开展藏药作用机理、工艺质量标准、医疗器械以及诊疗设备的现代化研究。</w:t>
      </w:r>
    </w:p>
    <w:p w14:paraId="0DD4E1D3">
      <w:pPr>
        <w:keepNext/>
        <w:keepLines/>
        <w:autoSpaceDE w:val="0"/>
        <w:autoSpaceDN w:val="0"/>
        <w:spacing w:line="360" w:lineRule="auto"/>
        <w:ind w:firstLine="643" w:firstLineChars="200"/>
        <w:outlineLvl w:val="2"/>
        <w:rPr>
          <w:rFonts w:ascii="仿宋" w:hAnsi="仿宋" w:eastAsia="仿宋" w:cs="Times New Roman"/>
          <w:b/>
          <w:bCs/>
          <w:sz w:val="32"/>
          <w:szCs w:val="32"/>
        </w:rPr>
      </w:pPr>
      <w:r>
        <w:rPr>
          <w:rFonts w:hint="eastAsia" w:ascii="仿宋" w:hAnsi="仿宋" w:eastAsia="仿宋" w:cs="Times New Roman"/>
          <w:b/>
          <w:bCs/>
          <w:sz w:val="32"/>
          <w:szCs w:val="32"/>
        </w:rPr>
        <w:t>3.弘扬藏医药文化</w:t>
      </w:r>
    </w:p>
    <w:p w14:paraId="34697174">
      <w:pPr>
        <w:adjustRightInd w:val="0"/>
        <w:snapToGrid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依托藏医发祥溯源地资源，在医疗机构、康养机构、景区景点等融合藏医药文化元素，建设集展示、交流、体验于一体的藏医药文化展示区（馆），打造藏医药文化宣传窗口。积极开展藏医药文化建设，从价值观念、行为规范、环境形象等方面弘扬文化核心理念。加强藏医药文化宣传普及活动，通过健康巡讲、科普读物、新媒体等形式，推广养生保健知识，增进居民的认知与认同，促进藏医药文化进校园。</w:t>
      </w:r>
    </w:p>
    <w:p w14:paraId="5E157298">
      <w:pPr>
        <w:keepNext/>
        <w:keepLines/>
        <w:autoSpaceDE w:val="0"/>
        <w:autoSpaceDN w:val="0"/>
        <w:spacing w:line="360" w:lineRule="auto"/>
        <w:ind w:firstLine="643" w:firstLineChars="200"/>
        <w:outlineLvl w:val="2"/>
        <w:rPr>
          <w:rFonts w:ascii="仿宋" w:hAnsi="仿宋" w:eastAsia="仿宋" w:cs="Times New Roman"/>
          <w:b/>
          <w:bCs/>
          <w:sz w:val="32"/>
          <w:szCs w:val="32"/>
        </w:rPr>
      </w:pPr>
      <w:r>
        <w:rPr>
          <w:rFonts w:hint="eastAsia" w:ascii="仿宋" w:hAnsi="仿宋" w:eastAsia="仿宋" w:cs="Times New Roman"/>
          <w:b/>
          <w:bCs/>
          <w:sz w:val="32"/>
          <w:szCs w:val="32"/>
        </w:rPr>
        <w:t>4.加快藏医药人才培养</w:t>
      </w:r>
    </w:p>
    <w:p w14:paraId="3DE8646B">
      <w:pPr>
        <w:adjustRightInd w:val="0"/>
        <w:snapToGrid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构建系统化的人才培养体系，依托区内外高校和本地医疗机构深化院校、师承、继续教育与专项培训相结合的模式。加强学科带头人、骨干人才和基层实用人才的培养，实施藏医培育工程和人才定向培养计划，形成结构合理、梯次衔接的人才队伍。制定人才引进政策，重点引进在藏医药临床、科研、教学、产业等领域有创新能力的高层次人才及团队。支持市藏医院联合高水平医疗机构和高等院校，开展高水平临床研究和人才培养。</w:t>
      </w:r>
    </w:p>
    <w:p w14:paraId="17E5ACC6">
      <w:pPr>
        <w:keepNext/>
        <w:keepLines/>
        <w:autoSpaceDE w:val="0"/>
        <w:autoSpaceDN w:val="0"/>
        <w:spacing w:before="156" w:beforeLines="50" w:line="360" w:lineRule="auto"/>
        <w:ind w:firstLine="643" w:firstLineChars="200"/>
        <w:outlineLvl w:val="1"/>
        <w:rPr>
          <w:rFonts w:ascii="仿宋" w:hAnsi="仿宋" w:eastAsia="仿宋" w:cs="Times New Roman"/>
          <w:b/>
          <w:color w:val="FF0000"/>
          <w:sz w:val="32"/>
          <w:szCs w:val="32"/>
        </w:rPr>
      </w:pPr>
      <w:bookmarkStart w:id="194" w:name="_Toc235857873"/>
      <w:bookmarkStart w:id="195" w:name="_Toc237847436"/>
      <w:bookmarkStart w:id="196" w:name="_Toc225259884"/>
      <w:bookmarkStart w:id="197" w:name="_Toc229475495"/>
      <w:bookmarkStart w:id="198" w:name="_Toc225367696"/>
      <w:bookmarkStart w:id="199" w:name="_Toc225259813"/>
      <w:r>
        <w:rPr>
          <w:rFonts w:hint="eastAsia" w:ascii="仿宋" w:hAnsi="仿宋" w:eastAsia="仿宋" w:cs="Times New Roman"/>
          <w:b/>
          <w:sz w:val="32"/>
          <w:szCs w:val="32"/>
        </w:rPr>
        <w:t>（四）促进藏医药产业融合发展</w:t>
      </w:r>
      <w:bookmarkEnd w:id="194"/>
      <w:bookmarkEnd w:id="195"/>
      <w:bookmarkEnd w:id="196"/>
      <w:bookmarkEnd w:id="197"/>
      <w:bookmarkEnd w:id="198"/>
      <w:bookmarkEnd w:id="199"/>
    </w:p>
    <w:p w14:paraId="6E7DFB0C">
      <w:pPr>
        <w:keepNext/>
        <w:keepLines/>
        <w:autoSpaceDE w:val="0"/>
        <w:autoSpaceDN w:val="0"/>
        <w:spacing w:line="360" w:lineRule="auto"/>
        <w:ind w:firstLine="643" w:firstLineChars="200"/>
        <w:outlineLvl w:val="2"/>
        <w:rPr>
          <w:rFonts w:ascii="仿宋" w:hAnsi="仿宋" w:eastAsia="仿宋" w:cs="Times New Roman"/>
          <w:b/>
          <w:bCs/>
          <w:sz w:val="32"/>
          <w:szCs w:val="32"/>
        </w:rPr>
      </w:pPr>
      <w:r>
        <w:rPr>
          <w:rFonts w:hint="eastAsia" w:ascii="仿宋" w:hAnsi="仿宋" w:eastAsia="仿宋" w:cs="Times New Roman"/>
          <w:b/>
          <w:bCs/>
          <w:sz w:val="32"/>
          <w:szCs w:val="32"/>
        </w:rPr>
        <w:t>1.推动藏医药产业发展</w:t>
      </w:r>
    </w:p>
    <w:p w14:paraId="1941A7F3">
      <w:pPr>
        <w:adjustRightInd w:val="0"/>
        <w:snapToGrid w:val="0"/>
        <w:spacing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加强野生藏药材资源与普查，形成藏药材资源数据库，推动建设藏药材种质资源库。保护濒危野生藏药材，合理、科学采集利用野生藏药材。引进本地稀缺或濒危的藏药材品种，提高使用效率。推进藏药材规范化人工种植养殖，探索藏药材生态化仿野外种植模式。建设标志性藏药材藏黄精、藏天麻大品种种植基地。藏药产业提质升级，以藏医经典名方、院内制剂为重点，开展新药研发与工艺改进，形成一批安全有效、临床价值高的创新藏药。培育本地藏药骨干企业，与奇正、甘露等区内药企共同促进制药技术水平、数字化、智能化转型，提升产业核心竞争力。规范藏药材市场流通，形成国内知名的藏药材集散地。探索藏医药海外发展，依托边境区位优势对接南亚各国，推动优质藏药产品、诊疗技术和服务企业“走出去”。</w:t>
      </w:r>
    </w:p>
    <w:p w14:paraId="3E25A5C7">
      <w:pPr>
        <w:keepNext/>
        <w:keepLines/>
        <w:autoSpaceDE w:val="0"/>
        <w:autoSpaceDN w:val="0"/>
        <w:spacing w:line="360" w:lineRule="auto"/>
        <w:ind w:firstLine="643" w:firstLineChars="200"/>
        <w:outlineLvl w:val="2"/>
        <w:rPr>
          <w:rFonts w:ascii="仿宋" w:hAnsi="仿宋" w:eastAsia="仿宋" w:cs="Times New Roman"/>
          <w:b/>
          <w:bCs/>
          <w:sz w:val="32"/>
          <w:szCs w:val="32"/>
        </w:rPr>
      </w:pPr>
      <w:r>
        <w:rPr>
          <w:rFonts w:hint="eastAsia" w:ascii="仿宋" w:hAnsi="仿宋" w:eastAsia="仿宋" w:cs="Times New Roman"/>
          <w:b/>
          <w:bCs/>
          <w:sz w:val="32"/>
          <w:szCs w:val="32"/>
        </w:rPr>
        <w:t>2.发展藏医药健康旅游与文化体验新业态</w:t>
      </w:r>
    </w:p>
    <w:p w14:paraId="73431F6F">
      <w:pPr>
        <w:adjustRightInd w:val="0"/>
        <w:snapToGrid w:val="0"/>
        <w:spacing w:line="360" w:lineRule="auto"/>
        <w:ind w:firstLine="640" w:firstLineChars="200"/>
        <w:rPr>
          <w:rFonts w:ascii="仿宋" w:hAnsi="仿宋" w:eastAsia="仿宋" w:cs="Times New Roman"/>
          <w:sz w:val="32"/>
          <w:szCs w:val="32"/>
        </w:rPr>
      </w:pPr>
      <w:r>
        <w:rPr>
          <w:rFonts w:ascii="仿宋" w:hAnsi="仿宋" w:eastAsia="仿宋" w:cs="Times New Roman"/>
          <w:sz w:val="32"/>
          <w:szCs w:val="32"/>
        </w:rPr>
        <w:t>深入挖掘藏医药历史文化资源，与自然风光、民俗风情结合，开发藏医药主题健康旅游线路和体验项目</w:t>
      </w:r>
      <w:r>
        <w:rPr>
          <w:rFonts w:hint="eastAsia" w:ascii="仿宋" w:hAnsi="仿宋" w:eastAsia="仿宋" w:cs="Times New Roman"/>
          <w:sz w:val="32"/>
          <w:szCs w:val="32"/>
        </w:rPr>
        <w:t>，拓展藏医药服务外延、推动产业融合发展，</w:t>
      </w:r>
      <w:r>
        <w:rPr>
          <w:rFonts w:ascii="仿宋" w:hAnsi="仿宋" w:eastAsia="仿宋" w:cs="Times New Roman"/>
          <w:sz w:val="32"/>
          <w:szCs w:val="32"/>
        </w:rPr>
        <w:t>建设藏医药文化展览馆、养生体验中心，开发藏药浴、</w:t>
      </w:r>
      <w:r>
        <w:rPr>
          <w:rFonts w:hint="eastAsia" w:ascii="仿宋" w:hAnsi="仿宋" w:eastAsia="仿宋" w:cs="Times New Roman"/>
          <w:sz w:val="32"/>
          <w:szCs w:val="32"/>
        </w:rPr>
        <w:t>藏医</w:t>
      </w:r>
      <w:r>
        <w:rPr>
          <w:rFonts w:ascii="仿宋" w:hAnsi="仿宋" w:eastAsia="仿宋" w:cs="Times New Roman"/>
          <w:sz w:val="32"/>
          <w:szCs w:val="32"/>
        </w:rPr>
        <w:t>治未病、藏医膳食调理与养生功法、藏医药文化研学等特色体验产品。在旅游景点景区中融入藏医药康养元素，打造集医疗康复、养生保健、文化体验、休闲旅游于一体的健康旅游示范基地，培育“藏医康养在林芝”特色品牌，助力国际生态旅游和世界级文化旅游目的地建设。</w:t>
      </w:r>
    </w:p>
    <w:p w14:paraId="1F11AFEC">
      <w:pPr>
        <w:keepNext/>
        <w:keepLines/>
        <w:autoSpaceDE w:val="0"/>
        <w:autoSpaceDN w:val="0"/>
        <w:spacing w:line="360" w:lineRule="auto"/>
        <w:ind w:firstLine="643" w:firstLineChars="200"/>
        <w:outlineLvl w:val="2"/>
        <w:rPr>
          <w:rFonts w:ascii="仿宋" w:hAnsi="仿宋" w:eastAsia="仿宋" w:cs="Times New Roman"/>
          <w:b/>
          <w:bCs/>
          <w:sz w:val="32"/>
          <w:szCs w:val="32"/>
        </w:rPr>
      </w:pPr>
      <w:r>
        <w:rPr>
          <w:rFonts w:hint="eastAsia" w:ascii="仿宋" w:hAnsi="仿宋" w:eastAsia="仿宋" w:cs="Times New Roman"/>
          <w:b/>
          <w:bCs/>
          <w:sz w:val="32"/>
          <w:szCs w:val="32"/>
        </w:rPr>
        <w:t>3.发展藏医药医养服务</w:t>
      </w:r>
    </w:p>
    <w:p w14:paraId="74AB6034">
      <w:pPr>
        <w:adjustRightInd w:val="0"/>
        <w:snapToGrid w:val="0"/>
        <w:spacing w:line="360" w:lineRule="auto"/>
        <w:ind w:firstLine="640" w:firstLineChars="200"/>
      </w:pPr>
      <w:r>
        <w:rPr>
          <w:rFonts w:hint="eastAsia" w:ascii="仿宋" w:hAnsi="仿宋" w:eastAsia="仿宋" w:cs="Times New Roman"/>
          <w:sz w:val="32"/>
          <w:szCs w:val="32"/>
        </w:rPr>
        <w:t>支持社会力量投资举办规范的藏医养老机构，打造藏医药医养融合新模式。探索制定藏医养老与养生保健服务规范和标准，推进藏医养生保健服务规范化、标准化发展。鼓励藏医医疗机构与养老机构合作，提供健康养老、安宁疗护等服务，推动藏医医疗机构内设养老病区，开展具有藏医药特色的医养结合服务。鼓励各级藏医院、藏医养老机构走进社区、学校、企业等，推广普及藏医养生保健知识和保健技法。</w:t>
      </w:r>
    </w:p>
    <w:p w14:paraId="376B2D73">
      <w:pPr>
        <w:keepNext/>
        <w:keepLines/>
        <w:autoSpaceDE w:val="0"/>
        <w:autoSpaceDN w:val="0"/>
        <w:spacing w:line="360" w:lineRule="auto"/>
        <w:ind w:firstLine="640" w:firstLineChars="200"/>
        <w:jc w:val="left"/>
        <w:outlineLvl w:val="0"/>
        <w:rPr>
          <w:rFonts w:ascii="黑体" w:hAnsi="黑体" w:eastAsia="黑体" w:cs="Times New Roman"/>
          <w:kern w:val="44"/>
          <w:sz w:val="32"/>
          <w:szCs w:val="32"/>
        </w:rPr>
      </w:pPr>
      <w:bookmarkStart w:id="200" w:name="_Toc235857874"/>
      <w:bookmarkStart w:id="201" w:name="_Toc237847437"/>
      <w:r>
        <w:rPr>
          <w:rFonts w:ascii="黑体" w:hAnsi="黑体" w:eastAsia="黑体" w:cs="Times New Roman"/>
          <w:kern w:val="44"/>
          <w:sz w:val="32"/>
          <w:szCs w:val="32"/>
        </w:rPr>
        <w:t>七、深化医药卫生体制改革</w:t>
      </w:r>
      <w:bookmarkEnd w:id="200"/>
      <w:bookmarkEnd w:id="201"/>
    </w:p>
    <w:p w14:paraId="360B522D">
      <w:pPr>
        <w:keepNext/>
        <w:keepLines/>
        <w:autoSpaceDE w:val="0"/>
        <w:autoSpaceDN w:val="0"/>
        <w:spacing w:before="156" w:beforeLines="50" w:line="360" w:lineRule="auto"/>
        <w:ind w:firstLine="643" w:firstLineChars="200"/>
        <w:outlineLvl w:val="1"/>
        <w:rPr>
          <w:rFonts w:ascii="仿宋" w:hAnsi="仿宋" w:eastAsia="仿宋" w:cs="Times New Roman"/>
          <w:b/>
          <w:sz w:val="32"/>
          <w:szCs w:val="32"/>
        </w:rPr>
      </w:pPr>
      <w:bookmarkStart w:id="202" w:name="_Toc235857875"/>
      <w:bookmarkStart w:id="203" w:name="_Toc237847438"/>
      <w:r>
        <w:rPr>
          <w:rFonts w:hint="eastAsia" w:ascii="仿宋" w:hAnsi="仿宋" w:eastAsia="仿宋" w:cs="Times New Roman"/>
          <w:b/>
          <w:sz w:val="32"/>
          <w:szCs w:val="32"/>
        </w:rPr>
        <w:t>（一）推动“三医”协同发展和治理</w:t>
      </w:r>
      <w:bookmarkEnd w:id="202"/>
      <w:bookmarkEnd w:id="203"/>
    </w:p>
    <w:p w14:paraId="22D9548A">
      <w:pPr>
        <w:spacing w:line="360" w:lineRule="auto"/>
        <w:ind w:firstLine="643" w:firstLineChars="200"/>
        <w:outlineLvl w:val="2"/>
        <w:rPr>
          <w:rFonts w:ascii="仿宋" w:hAnsi="仿宋" w:eastAsia="仿宋" w:cs="仿宋_GB2312"/>
          <w:sz w:val="32"/>
          <w:szCs w:val="32"/>
        </w:rPr>
      </w:pPr>
      <w:bookmarkStart w:id="204" w:name="_Toc741043336"/>
      <w:r>
        <w:rPr>
          <w:rFonts w:hint="eastAsia" w:ascii="仿宋" w:hAnsi="仿宋" w:eastAsia="仿宋" w:cs="仿宋_GB2312"/>
          <w:b/>
          <w:bCs/>
          <w:sz w:val="32"/>
          <w:szCs w:val="32"/>
        </w:rPr>
        <w:t>健全“三医”协同发展和治理机制</w:t>
      </w:r>
      <w:bookmarkEnd w:id="204"/>
      <w:r>
        <w:rPr>
          <w:rFonts w:hint="eastAsia" w:ascii="仿宋" w:hAnsi="仿宋" w:eastAsia="仿宋" w:cs="仿宋_GB2312"/>
          <w:b/>
          <w:bCs/>
          <w:sz w:val="32"/>
          <w:szCs w:val="32"/>
        </w:rPr>
        <w:t>。</w:t>
      </w:r>
      <w:r>
        <w:rPr>
          <w:rFonts w:hint="eastAsia" w:ascii="仿宋" w:hAnsi="仿宋" w:eastAsia="仿宋" w:cs="仿宋_GB2312"/>
          <w:sz w:val="32"/>
          <w:szCs w:val="32"/>
        </w:rPr>
        <w:t>持续强化完善医改组织领导和工作推进机制，推动市、县二级由党委、政府主要负责同志抓医改、负总责，分管负责同志具体协调“三医”改革工作，健全“三医”相关部门定期协作会商机制，增强部门间宏观政策取向一致性，推动实现目标一致、政策衔接、信息联通、监管联动。因地制宜全面推广三明医改经验，促进“三医”联动深度融合，推动区域医改系统集成、体系重塑、机制重构、流程再造。推动卫健、医保、药监等部门人员交叉交流任职。</w:t>
      </w:r>
    </w:p>
    <w:p w14:paraId="4554E1DB">
      <w:pPr>
        <w:spacing w:line="360" w:lineRule="auto"/>
        <w:ind w:firstLine="643" w:firstLineChars="200"/>
        <w:outlineLvl w:val="2"/>
        <w:rPr>
          <w:rFonts w:ascii="仿宋" w:hAnsi="仿宋" w:eastAsia="仿宋" w:cs="仿宋_GB2312"/>
          <w:sz w:val="32"/>
          <w:szCs w:val="32"/>
        </w:rPr>
      </w:pPr>
      <w:bookmarkStart w:id="205" w:name="_Toc1115862371"/>
      <w:r>
        <w:rPr>
          <w:rFonts w:hint="eastAsia" w:ascii="仿宋" w:hAnsi="仿宋" w:eastAsia="仿宋" w:cs="仿宋_GB2312"/>
          <w:b/>
          <w:bCs/>
          <w:sz w:val="32"/>
          <w:szCs w:val="32"/>
        </w:rPr>
        <w:t>深化医疗保障制度改革</w:t>
      </w:r>
      <w:bookmarkEnd w:id="205"/>
      <w:r>
        <w:rPr>
          <w:rFonts w:hint="eastAsia" w:ascii="仿宋" w:hAnsi="仿宋" w:eastAsia="仿宋" w:cs="仿宋_GB2312"/>
          <w:b/>
          <w:bCs/>
          <w:sz w:val="32"/>
          <w:szCs w:val="32"/>
        </w:rPr>
        <w:t>。</w:t>
      </w:r>
      <w:r>
        <w:rPr>
          <w:rFonts w:hint="eastAsia" w:ascii="仿宋" w:hAnsi="仿宋" w:eastAsia="仿宋" w:cs="仿宋_GB2312"/>
          <w:sz w:val="32"/>
          <w:szCs w:val="32"/>
        </w:rPr>
        <w:t>完善全民医保制度，优化医保基金结余资金使用政策，提高医保基金使用效率，减轻参保者医疗费用负担，严防欺诈骗保。深化医保支付方式改革，加快构建以按病种分值付费（DIP）为主，按人头付费、按床日付费、按项目付费等相结合的多元复合式支付体系，支付比例向基层医疗卫生机构倾斜。健全医保经办机构和医疗机构协商谈判机制，优化医保总额预算管理下的多元复合支付方式。建</w:t>
      </w:r>
      <w:r>
        <w:rPr>
          <w:rFonts w:hint="eastAsia" w:ascii="仿宋" w:hAnsi="仿宋" w:eastAsia="仿宋" w:cs="仿宋_GB2312"/>
          <w:color w:val="000000" w:themeColor="text1"/>
          <w:sz w:val="32"/>
          <w:szCs w:val="32"/>
          <w14:textFill>
            <w14:solidFill>
              <w14:schemeClr w14:val="tx1"/>
            </w14:solidFill>
          </w14:textFill>
        </w:rPr>
        <w:t>立符合藏医药特</w:t>
      </w:r>
      <w:r>
        <w:rPr>
          <w:rFonts w:hint="eastAsia" w:ascii="仿宋" w:hAnsi="仿宋" w:eastAsia="仿宋" w:cs="仿宋_GB2312"/>
          <w:sz w:val="32"/>
          <w:szCs w:val="32"/>
        </w:rPr>
        <w:t>点的医保支付方式。</w:t>
      </w:r>
      <w:bookmarkStart w:id="206" w:name="_Toc939568182"/>
      <w:r>
        <w:rPr>
          <w:rFonts w:hint="eastAsia" w:ascii="仿宋" w:hAnsi="仿宋" w:eastAsia="仿宋" w:cs="仿宋_GB2312"/>
          <w:sz w:val="32"/>
          <w:szCs w:val="32"/>
        </w:rPr>
        <w:t>遴选适合基层医疗卫生机构诊治的病种，推进统筹地区内“同病同付”，探索将签约居民门诊基金按人头支付给基层医疗卫生机构或家庭医生（团队）。落实紧密型医联体医保支付相关政策，推动符合条件的紧密型县域医共体医保基金总额付费全覆盖。</w:t>
      </w:r>
      <w:r>
        <w:rPr>
          <w:rFonts w:ascii="仿宋" w:hAnsi="仿宋" w:eastAsia="仿宋" w:cs="仿宋_GB2312"/>
          <w:sz w:val="32"/>
          <w:szCs w:val="32"/>
        </w:rPr>
        <w:t xml:space="preserve"> </w:t>
      </w:r>
    </w:p>
    <w:p w14:paraId="629820D7">
      <w:pPr>
        <w:spacing w:line="360" w:lineRule="auto"/>
        <w:ind w:firstLine="643" w:firstLineChars="200"/>
        <w:outlineLvl w:val="2"/>
        <w:rPr>
          <w:rFonts w:ascii="仿宋" w:hAnsi="仿宋" w:eastAsia="仿宋" w:cs="Times New Roman"/>
          <w:sz w:val="32"/>
          <w:szCs w:val="32"/>
        </w:rPr>
      </w:pPr>
      <w:r>
        <w:rPr>
          <w:rFonts w:hint="eastAsia" w:ascii="仿宋" w:hAnsi="仿宋" w:eastAsia="仿宋" w:cs="仿宋_GB2312"/>
          <w:b/>
          <w:bCs/>
          <w:sz w:val="32"/>
          <w:szCs w:val="32"/>
        </w:rPr>
        <w:t>推动药品供应保障与使用管理改革</w:t>
      </w:r>
      <w:bookmarkEnd w:id="206"/>
      <w:r>
        <w:rPr>
          <w:rFonts w:hint="eastAsia" w:ascii="仿宋" w:hAnsi="仿宋" w:eastAsia="仿宋" w:cs="仿宋_GB2312"/>
          <w:b/>
          <w:bCs/>
          <w:sz w:val="32"/>
          <w:szCs w:val="32"/>
        </w:rPr>
        <w:t>。</w:t>
      </w:r>
      <w:r>
        <w:rPr>
          <w:rFonts w:hint="eastAsia" w:ascii="仿宋" w:hAnsi="仿宋" w:eastAsia="仿宋" w:cs="仿宋_GB2312"/>
          <w:sz w:val="32"/>
          <w:szCs w:val="32"/>
        </w:rPr>
        <w:t>落实国家基本药物制度，健全短缺药品监测预警和分级应对机制。</w:t>
      </w:r>
      <w:r>
        <w:rPr>
          <w:rFonts w:hint="eastAsia" w:ascii="仿宋" w:hAnsi="仿宋" w:eastAsia="仿宋" w:cs="Times New Roman"/>
          <w:sz w:val="32"/>
          <w:szCs w:val="32"/>
        </w:rPr>
        <w:t>全面落实药品、医用耗材集采政策，扩大集采覆盖范围，推动集采药品进基层医疗机构、进民营医疗机构、进零售药店。落实医保资金结余留用政策。建立药械集采价格监测与动态调整预警机制，确保集采降价红利惠及群众。</w:t>
      </w:r>
      <w:r>
        <w:rPr>
          <w:rFonts w:hint="eastAsia" w:ascii="仿宋" w:hAnsi="仿宋" w:eastAsia="仿宋" w:cs="仿宋_GB2312"/>
          <w:sz w:val="32"/>
          <w:szCs w:val="32"/>
        </w:rPr>
        <w:t>完善儿童用药供应保障机制。健全药品使用监测体系，</w:t>
      </w:r>
      <w:r>
        <w:rPr>
          <w:rFonts w:hint="eastAsia" w:ascii="仿宋" w:hAnsi="仿宋" w:eastAsia="仿宋" w:cs="Times New Roman"/>
          <w:sz w:val="32"/>
          <w:szCs w:val="32"/>
        </w:rPr>
        <w:t>加强药品全生命周期精准监管，落实药品监测数据上报与追溯码信息采集制度，将集采药品、藏药制剂纳入重点抽检范围，健全药品不良反应监测、反馈与处置机制。完善药品供应保障应急预案，对临床必需、易短缺药品实行清单管理，强化边远乡镇、村落、国家重点工程项目的药品配送保障与监测，确保药品稳定供应。</w:t>
      </w:r>
    </w:p>
    <w:p w14:paraId="3FD68968">
      <w:pPr>
        <w:keepNext/>
        <w:keepLines/>
        <w:autoSpaceDE w:val="0"/>
        <w:autoSpaceDN w:val="0"/>
        <w:spacing w:line="360" w:lineRule="auto"/>
        <w:ind w:firstLine="643" w:firstLineChars="200"/>
        <w:outlineLvl w:val="1"/>
        <w:rPr>
          <w:rFonts w:ascii="仿宋" w:hAnsi="仿宋" w:eastAsia="仿宋" w:cs="Times New Roman"/>
          <w:b/>
          <w:color w:val="FF0000"/>
          <w:sz w:val="32"/>
          <w:szCs w:val="32"/>
        </w:rPr>
      </w:pPr>
      <w:bookmarkStart w:id="207" w:name="_Toc235857876"/>
      <w:bookmarkStart w:id="208" w:name="_Toc237847439"/>
      <w:r>
        <w:rPr>
          <w:rFonts w:hint="eastAsia" w:ascii="仿宋" w:hAnsi="仿宋" w:eastAsia="仿宋" w:cs="Times New Roman"/>
          <w:b/>
          <w:sz w:val="32"/>
          <w:szCs w:val="32"/>
        </w:rPr>
        <w:t>（二）加快建设分级诊疗体系</w:t>
      </w:r>
      <w:bookmarkEnd w:id="207"/>
      <w:bookmarkEnd w:id="208"/>
    </w:p>
    <w:p w14:paraId="4DE6F4EC">
      <w:pPr>
        <w:autoSpaceDE w:val="0"/>
        <w:autoSpaceDN w:val="0"/>
        <w:spacing w:line="360" w:lineRule="auto"/>
        <w:ind w:firstLine="640" w:firstLineChars="200"/>
        <w:rPr>
          <w:rFonts w:ascii="仿宋" w:hAnsi="仿宋" w:eastAsia="仿宋"/>
          <w:sz w:val="32"/>
          <w:szCs w:val="32"/>
        </w:rPr>
      </w:pPr>
      <w:r>
        <w:rPr>
          <w:rFonts w:hint="eastAsia" w:ascii="仿宋" w:hAnsi="仿宋" w:eastAsia="仿宋" w:cs="Times New Roman Regular"/>
          <w:sz w:val="32"/>
          <w:szCs w:val="32"/>
        </w:rPr>
        <w:t>完善分级诊疗协同机制，持续优化各级医疗卫生机构功能定位和机构布局。加快建设紧密型县域医共体和紧密型城市医联体，推动医疗、运营、信息管理一体化。加强紧密型医联体内医疗资源共享，统筹建设资源共享中心。加强基层常见病诊疗和慢性病管理，建立不同疾病在不同层级、不同类别、不同功能医疗机构差异化就医指南及目录清单，提高基层医疗机构对群众的吸引力，逐步形成“基层首诊、双向转诊、急慢分治、上下联动”的有序医疗格局。提升家庭医生签约服务质效，逐年扩大家庭医生签约服务供给，推进“互联网+签约”。以便利群众转诊为导向，完善各级转诊规则，畅通首诊后患者转诊渠道，推动医疗机构设立转诊中心，引导患者合理就医。推动医疗卫生机构间数据互通共享，强化人工智能在分级诊疗、院前导诊、健康科普中的推广应用，引导患者合理选择医疗机构就医。</w:t>
      </w:r>
    </w:p>
    <w:p w14:paraId="15508146">
      <w:pPr>
        <w:keepNext/>
        <w:keepLines/>
        <w:autoSpaceDE w:val="0"/>
        <w:autoSpaceDN w:val="0"/>
        <w:spacing w:before="156" w:beforeLines="50" w:line="360" w:lineRule="auto"/>
        <w:ind w:firstLine="643" w:firstLineChars="200"/>
        <w:outlineLvl w:val="1"/>
        <w:rPr>
          <w:rFonts w:ascii="仿宋" w:hAnsi="仿宋" w:eastAsia="仿宋" w:cs="Times New Roman"/>
          <w:b/>
          <w:sz w:val="32"/>
          <w:szCs w:val="32"/>
        </w:rPr>
      </w:pPr>
      <w:bookmarkStart w:id="209" w:name="_Toc235857877"/>
      <w:bookmarkStart w:id="210" w:name="_Toc237847440"/>
      <w:bookmarkStart w:id="211" w:name="OLE_LINK77"/>
      <w:r>
        <w:rPr>
          <w:rFonts w:hint="eastAsia" w:ascii="仿宋" w:hAnsi="仿宋" w:eastAsia="仿宋" w:cs="Times New Roman"/>
          <w:b/>
          <w:sz w:val="32"/>
          <w:szCs w:val="32"/>
        </w:rPr>
        <w:t>（三）</w:t>
      </w:r>
      <w:r>
        <w:rPr>
          <w:rFonts w:ascii="仿宋" w:hAnsi="仿宋" w:eastAsia="仿宋" w:cs="Times New Roman"/>
          <w:b/>
          <w:sz w:val="32"/>
          <w:szCs w:val="32"/>
        </w:rPr>
        <w:t>推动公立医院高质量发展</w:t>
      </w:r>
      <w:bookmarkEnd w:id="209"/>
      <w:bookmarkEnd w:id="210"/>
      <w:bookmarkStart w:id="212" w:name="_Toc224486467"/>
      <w:bookmarkStart w:id="213" w:name="_Toc225367679"/>
      <w:bookmarkStart w:id="214" w:name="_Toc225259782"/>
      <w:bookmarkStart w:id="215" w:name="_Toc1246672870"/>
      <w:bookmarkStart w:id="216" w:name="_Toc229475489"/>
      <w:bookmarkStart w:id="217" w:name="_Toc225259853"/>
      <w:bookmarkStart w:id="218" w:name="_Toc335110049"/>
    </w:p>
    <w:p w14:paraId="49EC7DA0">
      <w:pPr>
        <w:ind w:firstLine="640" w:firstLineChars="200"/>
        <w:rPr>
          <w:rFonts w:ascii="仿宋" w:hAnsi="仿宋" w:eastAsia="仿宋" w:cs="Times New Roman Regular"/>
          <w:sz w:val="32"/>
          <w:szCs w:val="32"/>
        </w:rPr>
      </w:pPr>
      <w:r>
        <w:rPr>
          <w:rFonts w:hint="eastAsia" w:ascii="仿宋" w:hAnsi="仿宋" w:eastAsia="仿宋" w:cs="Times New Roman Regular"/>
          <w:sz w:val="32"/>
          <w:szCs w:val="32"/>
        </w:rPr>
        <w:t>全面落实公立医院党委领导下的院长负责制，健全党委会、院长办公会议事决策规则和党政沟通机制，实行党委书记和院长分设。以公益性为导向，健全公立医院运行机制和考核评价机制。落实政府办医责任，优化公立医院财政补助政策，适当向承担党委政府指令性任务较重的医疗卫生机构倾斜。分级落实公立医院六项财政补助政策，进一步完善政策性亏损等投入。加强县（市、区）基层医疗卫生机构运行保障。优化财政投入结构和方式，落实投资于物和投资于人紧密结合。对社会需要、收费水平较低、收支难以平衡的医疗机构和薄弱科室给予经费补助。妥善防范和化解公立医院债务风险，建立风险监测预警和防范机制，严禁公立医院违规举债用于基本建设、超标准装修和购置大型医用设备。</w:t>
      </w:r>
    </w:p>
    <w:p w14:paraId="3B1058BE">
      <w:pPr>
        <w:spacing w:line="360" w:lineRule="auto"/>
        <w:ind w:firstLine="640" w:firstLineChars="200"/>
        <w:rPr>
          <w:rFonts w:ascii="仿宋" w:hAnsi="仿宋" w:eastAsia="仿宋"/>
          <w:color w:val="FF0000"/>
          <w:sz w:val="32"/>
          <w:szCs w:val="32"/>
        </w:rPr>
      </w:pPr>
      <w:r>
        <w:rPr>
          <w:rFonts w:hint="eastAsia" w:ascii="仿宋" w:hAnsi="仿宋" w:eastAsia="仿宋"/>
          <w:sz w:val="32"/>
          <w:szCs w:val="32"/>
        </w:rPr>
        <w:t>深入实施公立医院人员总量控制办法，合理确定公立医院编制与员额数量，建立公立医院编制动态调整机制。突出保基本、保重点、保运行，盘活用好现有编制，将符合岗位要求的医务人员按程序逐步纳入编制。推行岗位（人员）备案制、岗位竞聘制和全员聘任制等管理制度。医疗机构自行划分岗位类别、合理配置岗位资源，组织完成相应的工作任务。</w:t>
      </w:r>
    </w:p>
    <w:p w14:paraId="485C1A70">
      <w:pPr>
        <w:spacing w:line="360" w:lineRule="auto"/>
        <w:ind w:firstLine="640" w:firstLineChars="200"/>
        <w:rPr>
          <w:rFonts w:ascii="仿宋" w:hAnsi="仿宋" w:eastAsia="仿宋"/>
          <w:sz w:val="32"/>
          <w:szCs w:val="32"/>
        </w:rPr>
      </w:pPr>
      <w:r>
        <w:rPr>
          <w:rFonts w:hint="eastAsia" w:ascii="仿宋" w:hAnsi="仿宋" w:eastAsia="仿宋"/>
          <w:sz w:val="32"/>
          <w:szCs w:val="32"/>
        </w:rPr>
        <w:t>持续深化公立医院薪酬制度改革。落实“两个允许”要求，不断完善适应医疗行业特点的薪酬制度，推动其在疾病预防控制机构落地落实。落实公立医院内部分配自主权，体现岗位差异，推动公立医院优化内部绩效管理，结合实际向人民群众急需且专业人才短缺的专业倾斜。</w:t>
      </w:r>
    </w:p>
    <w:p w14:paraId="749C9166">
      <w:pPr>
        <w:spacing w:line="360" w:lineRule="auto"/>
        <w:ind w:firstLine="640" w:firstLineChars="200"/>
        <w:rPr>
          <w:rFonts w:ascii="仿宋" w:hAnsi="仿宋" w:eastAsia="仿宋"/>
          <w:sz w:val="32"/>
          <w:szCs w:val="32"/>
        </w:rPr>
      </w:pPr>
      <w:r>
        <w:rPr>
          <w:rFonts w:hint="eastAsia" w:ascii="仿宋" w:hAnsi="仿宋" w:eastAsia="仿宋"/>
          <w:sz w:val="32"/>
          <w:szCs w:val="32"/>
        </w:rPr>
        <w:t>深化医疗服务价格改革。常态化运行医疗服务价格动态调整机制，突出对重点专科、薄弱学科等体现技术劳务价值项目价格支持，有序降低以物耗设备为主的检查检验项目价格</w:t>
      </w:r>
      <w:r>
        <w:rPr>
          <w:rFonts w:hint="eastAsia" w:ascii="仿宋" w:hAnsi="仿宋" w:eastAsia="仿宋" w:cs="Times New Roman Regular"/>
          <w:sz w:val="32"/>
          <w:szCs w:val="32"/>
        </w:rPr>
        <w:t>，重点提高技术劳动类项目价格</w:t>
      </w:r>
      <w:r>
        <w:rPr>
          <w:rFonts w:hint="eastAsia" w:ascii="仿宋" w:hAnsi="仿宋" w:eastAsia="仿宋"/>
          <w:sz w:val="32"/>
          <w:szCs w:val="32"/>
        </w:rPr>
        <w:t>。扩大药学类医疗服务收费项目，及时将符合条件医疗新技术纳入收费项目。建立价格调整与支付标准联动机制。</w:t>
      </w:r>
    </w:p>
    <w:p w14:paraId="29675658">
      <w:pPr>
        <w:spacing w:line="360" w:lineRule="auto"/>
        <w:ind w:firstLine="640" w:firstLineChars="200"/>
        <w:rPr>
          <w:rFonts w:ascii="仿宋" w:hAnsi="仿宋" w:eastAsia="仿宋"/>
          <w:sz w:val="32"/>
          <w:szCs w:val="32"/>
        </w:rPr>
      </w:pPr>
      <w:r>
        <w:rPr>
          <w:rFonts w:hint="eastAsia" w:ascii="仿宋" w:hAnsi="仿宋" w:eastAsia="仿宋"/>
          <w:sz w:val="32"/>
          <w:szCs w:val="32"/>
        </w:rPr>
        <w:t>加强公立医院内外部监督管理。进一步完善医药卫生行业综合监管机制，依托全民健康信息平台等系统，整合医疗“三监管”与医保基金智能审核，严格控制医药费用不合理增长。统筹加强医德医风建设，督促从业人员严格遵守廉洁从政、职业道德、科研诚信和行为规范等相关规定。</w:t>
      </w:r>
    </w:p>
    <w:bookmarkEnd w:id="211"/>
    <w:bookmarkEnd w:id="212"/>
    <w:bookmarkEnd w:id="213"/>
    <w:bookmarkEnd w:id="214"/>
    <w:bookmarkEnd w:id="215"/>
    <w:bookmarkEnd w:id="216"/>
    <w:bookmarkEnd w:id="217"/>
    <w:bookmarkEnd w:id="218"/>
    <w:p w14:paraId="4830A8E0">
      <w:pPr>
        <w:keepNext/>
        <w:keepLines/>
        <w:autoSpaceDE w:val="0"/>
        <w:autoSpaceDN w:val="0"/>
        <w:spacing w:before="156" w:beforeLines="50" w:line="360" w:lineRule="auto"/>
        <w:ind w:firstLine="643" w:firstLineChars="200"/>
        <w:outlineLvl w:val="1"/>
        <w:rPr>
          <w:rFonts w:ascii="仿宋" w:hAnsi="仿宋" w:eastAsia="仿宋" w:cs="Times New Roman"/>
          <w:b/>
          <w:sz w:val="32"/>
          <w:szCs w:val="32"/>
        </w:rPr>
      </w:pPr>
      <w:bookmarkStart w:id="219" w:name="_Toc237847441"/>
      <w:bookmarkStart w:id="220" w:name="_Toc235857878"/>
      <w:r>
        <w:rPr>
          <w:rFonts w:hint="eastAsia" w:ascii="仿宋" w:hAnsi="仿宋" w:eastAsia="仿宋" w:cs="Times New Roman"/>
          <w:b/>
          <w:sz w:val="32"/>
          <w:szCs w:val="32"/>
        </w:rPr>
        <w:t>（四）引导规范社会办医健康发展</w:t>
      </w:r>
      <w:bookmarkEnd w:id="219"/>
      <w:bookmarkEnd w:id="220"/>
    </w:p>
    <w:p w14:paraId="0D5DEC80">
      <w:pPr>
        <w:adjustRightInd w:val="0"/>
        <w:snapToGrid w:val="0"/>
        <w:spacing w:line="360" w:lineRule="auto"/>
        <w:ind w:firstLine="640" w:firstLineChars="200"/>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优化民营医疗机构设置审批流程，加强监督管理，切实提升医疗质量和服务水平，防止不正当竞争行为损害患者合法权益。建立健全覆盖医疗质量、依法执业、医疗废物处置等环节的</w:t>
      </w:r>
      <w:r>
        <w:rPr>
          <w:rFonts w:hint="eastAsia" w:ascii="仿宋" w:hAnsi="仿宋" w:eastAsia="仿宋" w:cs="宋体"/>
          <w:snapToGrid w:val="0"/>
          <w:kern w:val="0"/>
          <w:sz w:val="32"/>
          <w:szCs w:val="32"/>
        </w:rPr>
        <w:t>全链条监管体系，探索以信用为基础的新型监管机制。</w:t>
      </w:r>
    </w:p>
    <w:p w14:paraId="3D2CF01D">
      <w:pPr>
        <w:adjustRightInd w:val="0"/>
        <w:snapToGrid w:val="0"/>
        <w:spacing w:line="360" w:lineRule="auto"/>
        <w:ind w:firstLine="640" w:firstLineChars="200"/>
      </w:pPr>
      <w:r>
        <w:rPr>
          <w:rFonts w:hint="eastAsia" w:ascii="仿宋" w:hAnsi="仿宋" w:eastAsia="仿宋" w:cs="宋体"/>
          <w:snapToGrid w:val="0"/>
          <w:kern w:val="0"/>
          <w:sz w:val="32"/>
          <w:szCs w:val="32"/>
        </w:rPr>
        <w:t>依据区域医疗规划与居民健康需求，严格控制社会资本新建综合性医院。</w:t>
      </w:r>
      <w:r>
        <w:rPr>
          <w:rFonts w:hint="eastAsia" w:ascii="仿宋" w:hAnsi="仿宋" w:eastAsia="仿宋" w:cs="宋体"/>
          <w:snapToGrid w:val="0"/>
          <w:color w:val="000000"/>
          <w:kern w:val="0"/>
          <w:sz w:val="32"/>
          <w:szCs w:val="32"/>
        </w:rPr>
        <w:t>鼓励社会办医差异化发展，引导其有序发展特需医疗、居家养老、上门护理、医养结合等，精准适配居民高品质、多元化需求，形成与公立医疗机构错位协同的发展格局。鼓励社会力量举办藏医康复、藏药浴、安宁疗护等特色专科或医养结合机构。推动社会办医在市场准入、医保定点、重点专科建设、职称评审、学术地位和科研项目立项等方面享受与公立医院同等待遇。鼓励其加入县域医共体或城市医疗集团，参与分级诊疗。制定社会办医转型发展、人才引进、品牌建设的专项政策。</w:t>
      </w:r>
      <w:r>
        <w:rPr>
          <w:rFonts w:hint="eastAsia" w:ascii="仿宋" w:hAnsi="仿宋" w:eastAsia="仿宋" w:cs="宋体"/>
          <w:snapToGrid w:val="0"/>
          <w:color w:val="FF0000"/>
          <w:kern w:val="0"/>
          <w:sz w:val="32"/>
          <w:szCs w:val="32"/>
        </w:rPr>
        <w:t xml:space="preserve"> </w:t>
      </w:r>
    </w:p>
    <w:p w14:paraId="0188A816">
      <w:pPr>
        <w:keepNext/>
        <w:keepLines/>
        <w:autoSpaceDE w:val="0"/>
        <w:autoSpaceDN w:val="0"/>
        <w:spacing w:line="360" w:lineRule="auto"/>
        <w:ind w:firstLine="640" w:firstLineChars="200"/>
        <w:jc w:val="left"/>
        <w:outlineLvl w:val="0"/>
        <w:rPr>
          <w:rFonts w:ascii="黑体" w:hAnsi="黑体" w:eastAsia="黑体" w:cs="Times New Roman"/>
          <w:color w:val="FF0000"/>
          <w:kern w:val="44"/>
          <w:sz w:val="32"/>
          <w:szCs w:val="32"/>
        </w:rPr>
      </w:pPr>
      <w:bookmarkStart w:id="221" w:name="_Toc235857879"/>
      <w:bookmarkStart w:id="222" w:name="_Toc237847442"/>
      <w:r>
        <w:rPr>
          <w:rFonts w:hint="eastAsia" w:ascii="黑体" w:hAnsi="黑体" w:eastAsia="黑体" w:cs="Times New Roman"/>
          <w:kern w:val="44"/>
          <w:sz w:val="32"/>
          <w:szCs w:val="32"/>
        </w:rPr>
        <w:t>八、促进健康产业发展</w:t>
      </w:r>
      <w:bookmarkEnd w:id="221"/>
      <w:bookmarkEnd w:id="222"/>
    </w:p>
    <w:p w14:paraId="3F58A60E">
      <w:pPr>
        <w:keepNext/>
        <w:keepLines/>
        <w:autoSpaceDE w:val="0"/>
        <w:autoSpaceDN w:val="0"/>
        <w:spacing w:before="156" w:beforeLines="50" w:line="360" w:lineRule="auto"/>
        <w:ind w:firstLine="643" w:firstLineChars="200"/>
        <w:outlineLvl w:val="1"/>
        <w:rPr>
          <w:rFonts w:ascii="仿宋" w:hAnsi="仿宋" w:eastAsia="仿宋" w:cs="Times New Roman"/>
          <w:b/>
          <w:sz w:val="32"/>
          <w:szCs w:val="32"/>
        </w:rPr>
      </w:pPr>
      <w:bookmarkStart w:id="223" w:name="_Toc1104523838"/>
      <w:bookmarkStart w:id="224" w:name="_Toc229475503"/>
      <w:bookmarkStart w:id="225" w:name="_Toc225367704"/>
      <w:bookmarkStart w:id="226" w:name="_Toc225259821"/>
      <w:bookmarkStart w:id="227" w:name="_Toc225259892"/>
      <w:bookmarkStart w:id="228" w:name="_Toc235857880"/>
      <w:bookmarkStart w:id="229" w:name="_Toc237847443"/>
      <w:r>
        <w:rPr>
          <w:rFonts w:hint="eastAsia" w:ascii="仿宋" w:hAnsi="仿宋" w:eastAsia="仿宋" w:cs="Times New Roman"/>
          <w:b/>
          <w:sz w:val="32"/>
          <w:szCs w:val="32"/>
        </w:rPr>
        <w:t>（一）发展生物医药营养健康产业</w:t>
      </w:r>
      <w:bookmarkEnd w:id="223"/>
      <w:bookmarkEnd w:id="224"/>
      <w:bookmarkEnd w:id="225"/>
      <w:bookmarkEnd w:id="226"/>
      <w:bookmarkEnd w:id="227"/>
      <w:bookmarkEnd w:id="228"/>
      <w:bookmarkEnd w:id="229"/>
    </w:p>
    <w:p w14:paraId="62BEA1A3">
      <w:pPr>
        <w:adjustRightInd w:val="0"/>
        <w:snapToGrid w:val="0"/>
        <w:spacing w:line="360" w:lineRule="auto"/>
        <w:ind w:firstLine="640" w:firstLineChars="200"/>
        <w:rPr>
          <w:rFonts w:ascii="仿宋" w:hAnsi="仿宋" w:eastAsia="仿宋" w:cs="宋体"/>
          <w:snapToGrid w:val="0"/>
          <w:color w:val="FF0000"/>
          <w:kern w:val="0"/>
          <w:sz w:val="32"/>
          <w:szCs w:val="32"/>
        </w:rPr>
      </w:pPr>
      <w:r>
        <w:rPr>
          <w:rFonts w:hint="eastAsia" w:ascii="仿宋" w:hAnsi="仿宋" w:eastAsia="仿宋" w:cs="宋体"/>
          <w:snapToGrid w:val="0"/>
          <w:color w:val="000000"/>
          <w:kern w:val="0"/>
          <w:sz w:val="32"/>
          <w:szCs w:val="32"/>
        </w:rPr>
        <w:t>立足资源禀赋，坚持保护与开发并重、融合与创新并举，构建从藏药材种植到终端消费的完整产业链</w:t>
      </w:r>
      <w:bookmarkStart w:id="230" w:name="OLE_LINK131"/>
      <w:bookmarkStart w:id="231" w:name="OLE_LINK132"/>
      <w:r>
        <w:rPr>
          <w:rFonts w:hint="eastAsia" w:ascii="仿宋" w:hAnsi="仿宋" w:eastAsia="仿宋" w:cs="宋体"/>
          <w:snapToGrid w:val="0"/>
          <w:color w:val="000000"/>
          <w:kern w:val="0"/>
          <w:sz w:val="32"/>
          <w:szCs w:val="32"/>
        </w:rPr>
        <w:t>。推动</w:t>
      </w:r>
      <w:bookmarkEnd w:id="230"/>
      <w:bookmarkEnd w:id="231"/>
      <w:r>
        <w:rPr>
          <w:rFonts w:hint="eastAsia" w:ascii="仿宋" w:hAnsi="仿宋" w:eastAsia="仿宋" w:cs="宋体"/>
          <w:snapToGrid w:val="0"/>
          <w:color w:val="000000"/>
          <w:kern w:val="0"/>
          <w:sz w:val="32"/>
          <w:szCs w:val="32"/>
        </w:rPr>
        <w:t>藏药材规范化种植与可持续利用。在米林、朗县等适宜区域，开展</w:t>
      </w:r>
      <w:r>
        <w:rPr>
          <w:rFonts w:hint="eastAsia" w:ascii="仿宋" w:hAnsi="仿宋" w:eastAsia="仿宋" w:cs="宋体"/>
          <w:snapToGrid w:val="0"/>
          <w:kern w:val="0"/>
          <w:sz w:val="32"/>
          <w:szCs w:val="32"/>
        </w:rPr>
        <w:t>道地</w:t>
      </w:r>
      <w:r>
        <w:rPr>
          <w:rFonts w:hint="eastAsia" w:ascii="仿宋" w:hAnsi="仿宋" w:eastAsia="仿宋" w:cs="宋体"/>
          <w:snapToGrid w:val="0"/>
          <w:color w:val="000000"/>
          <w:kern w:val="0"/>
          <w:sz w:val="32"/>
          <w:szCs w:val="32"/>
        </w:rPr>
        <w:t>藏药材标准化、规模化种植，推广生态种植技术，加强野生资源保护，从源头保障</w:t>
      </w:r>
      <w:r>
        <w:rPr>
          <w:rFonts w:hint="eastAsia" w:ascii="仿宋" w:hAnsi="仿宋" w:eastAsia="仿宋" w:cs="宋体"/>
          <w:snapToGrid w:val="0"/>
          <w:kern w:val="0"/>
          <w:sz w:val="32"/>
          <w:szCs w:val="32"/>
        </w:rPr>
        <w:t>产业可持续发展</w:t>
      </w:r>
      <w:r>
        <w:rPr>
          <w:rFonts w:hint="eastAsia" w:ascii="仿宋" w:hAnsi="仿宋" w:eastAsia="仿宋" w:cs="宋体"/>
          <w:snapToGrid w:val="0"/>
          <w:color w:val="000000"/>
          <w:kern w:val="0"/>
          <w:sz w:val="32"/>
          <w:szCs w:val="32"/>
        </w:rPr>
        <w:t>。提升精深加工与制造水平，依托经开区等园区平台，开展藏药经典名方制剂、新型饮片及以高原特色动植物为原材料的营养保健食品精深加工。支持本地特色藏医医疗器械升级，</w:t>
      </w:r>
      <w:bookmarkStart w:id="232" w:name="OLE_LINK136"/>
      <w:bookmarkStart w:id="233" w:name="OLE_LINK135"/>
      <w:r>
        <w:rPr>
          <w:rFonts w:hint="eastAsia" w:ascii="仿宋" w:hAnsi="仿宋" w:eastAsia="仿宋" w:cs="宋体"/>
          <w:snapToGrid w:val="0"/>
          <w:color w:val="000000"/>
          <w:kern w:val="0"/>
          <w:sz w:val="32"/>
          <w:szCs w:val="32"/>
        </w:rPr>
        <w:t>推动经</w:t>
      </w:r>
      <w:bookmarkEnd w:id="232"/>
      <w:bookmarkEnd w:id="233"/>
      <w:r>
        <w:rPr>
          <w:rFonts w:hint="eastAsia" w:ascii="仿宋" w:hAnsi="仿宋" w:eastAsia="仿宋" w:cs="宋体"/>
          <w:snapToGrid w:val="0"/>
          <w:color w:val="000000"/>
          <w:kern w:val="0"/>
          <w:sz w:val="32"/>
          <w:szCs w:val="32"/>
        </w:rPr>
        <w:t>典</w:t>
      </w:r>
      <w:bookmarkStart w:id="234" w:name="OLE_LINK130"/>
      <w:bookmarkStart w:id="235" w:name="OLE_LINK129"/>
      <w:r>
        <w:rPr>
          <w:rFonts w:hint="eastAsia" w:ascii="仿宋" w:hAnsi="仿宋" w:eastAsia="仿宋" w:cs="宋体"/>
          <w:snapToGrid w:val="0"/>
          <w:color w:val="000000"/>
          <w:kern w:val="0"/>
          <w:sz w:val="32"/>
          <w:szCs w:val="32"/>
        </w:rPr>
        <w:t>方剂与</w:t>
      </w:r>
      <w:bookmarkEnd w:id="234"/>
      <w:bookmarkEnd w:id="235"/>
      <w:r>
        <w:rPr>
          <w:rFonts w:hint="eastAsia" w:ascii="仿宋" w:hAnsi="仿宋" w:eastAsia="仿宋" w:cs="宋体"/>
          <w:snapToGrid w:val="0"/>
          <w:color w:val="000000"/>
          <w:kern w:val="0"/>
          <w:sz w:val="32"/>
          <w:szCs w:val="32"/>
        </w:rPr>
        <w:t>创新药物成果转化，与高校和研究机构开展藏药材有效成分分析、新药与制剂临床试验研究。强化创新与平台支撑，高标准建设医药园区，提升“研发—临床—中试—制造”全产业链集群协同创新水平，推动产业走向价值链高端。</w:t>
      </w:r>
    </w:p>
    <w:p w14:paraId="098A8848">
      <w:pPr>
        <w:keepNext/>
        <w:keepLines/>
        <w:autoSpaceDE w:val="0"/>
        <w:autoSpaceDN w:val="0"/>
        <w:spacing w:before="156" w:beforeLines="50" w:line="360" w:lineRule="auto"/>
        <w:ind w:firstLine="643" w:firstLineChars="200"/>
        <w:outlineLvl w:val="1"/>
        <w:rPr>
          <w:rFonts w:ascii="仿宋" w:hAnsi="仿宋" w:eastAsia="仿宋" w:cs="Times New Roman"/>
          <w:b/>
          <w:sz w:val="32"/>
          <w:szCs w:val="32"/>
        </w:rPr>
      </w:pPr>
      <w:bookmarkStart w:id="236" w:name="_Toc237847444"/>
      <w:bookmarkStart w:id="237" w:name="_Toc225259822"/>
      <w:bookmarkStart w:id="238" w:name="_Toc229475504"/>
      <w:bookmarkStart w:id="239" w:name="_Toc235857881"/>
      <w:bookmarkStart w:id="240" w:name="_Toc883500598"/>
      <w:bookmarkStart w:id="241" w:name="_Toc225259893"/>
      <w:bookmarkStart w:id="242" w:name="_Toc225367705"/>
      <w:r>
        <w:rPr>
          <w:rFonts w:hint="eastAsia" w:ascii="仿宋" w:hAnsi="仿宋" w:eastAsia="仿宋" w:cs="Times New Roman"/>
          <w:b/>
          <w:sz w:val="32"/>
          <w:szCs w:val="32"/>
        </w:rPr>
        <w:t>（二）拓展健康服务新业态新领域</w:t>
      </w:r>
      <w:bookmarkEnd w:id="236"/>
      <w:bookmarkEnd w:id="237"/>
      <w:bookmarkEnd w:id="238"/>
      <w:bookmarkEnd w:id="239"/>
      <w:bookmarkEnd w:id="240"/>
      <w:bookmarkEnd w:id="241"/>
      <w:bookmarkEnd w:id="242"/>
    </w:p>
    <w:p w14:paraId="6D24CBBF">
      <w:pPr>
        <w:adjustRightInd w:val="0"/>
        <w:snapToGrid w:val="0"/>
        <w:spacing w:line="360" w:lineRule="auto"/>
        <w:ind w:firstLine="640" w:firstLineChars="200"/>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创新发展“互联网+医疗健康”服务，依托市级健康云平台，加强大数据与AI技术应用，积极发展互联网健康咨询和健康管理服务，规范开展互联网诊疗活动，完善相关服务项目、价格及医保有关政策。</w:t>
      </w:r>
    </w:p>
    <w:p w14:paraId="68530CB2">
      <w:pPr>
        <w:adjustRightInd w:val="0"/>
        <w:snapToGrid w:val="0"/>
        <w:spacing w:line="360" w:lineRule="auto"/>
        <w:ind w:firstLine="640" w:firstLineChars="200"/>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促进健康与养老、旅游、体育健身等产业深度融合。推进健康养老向农村、社区、家庭下沉，通过适当的医院转型、养老机构提升能力和引导社会力量投入，增加具备长期照护能力的康复、护理和养老机构数量，推动藏医医师到养老机构提供藏医保健咨询和调理等服务，持续推广长期照护险应用。推广智慧化养老、</w:t>
      </w:r>
      <w:r>
        <w:rPr>
          <w:rFonts w:hint="eastAsia" w:ascii="仿宋" w:hAnsi="仿宋" w:eastAsia="仿宋" w:cs="宋体"/>
          <w:snapToGrid w:val="0"/>
          <w:kern w:val="0"/>
          <w:sz w:val="32"/>
          <w:szCs w:val="32"/>
        </w:rPr>
        <w:t>居家“医养结合”新模式</w:t>
      </w:r>
      <w:r>
        <w:rPr>
          <w:rFonts w:hint="eastAsia" w:ascii="仿宋" w:hAnsi="仿宋" w:eastAsia="仿宋" w:cs="宋体"/>
          <w:snapToGrid w:val="0"/>
          <w:color w:val="FF0000"/>
          <w:kern w:val="0"/>
          <w:sz w:val="32"/>
          <w:szCs w:val="32"/>
        </w:rPr>
        <w:t>。</w:t>
      </w:r>
      <w:r>
        <w:rPr>
          <w:rFonts w:hint="eastAsia" w:ascii="仿宋" w:hAnsi="仿宋" w:eastAsia="仿宋" w:cs="宋体"/>
          <w:snapToGrid w:val="0"/>
          <w:kern w:val="0"/>
          <w:sz w:val="32"/>
          <w:szCs w:val="32"/>
        </w:rPr>
        <w:t>开</w:t>
      </w:r>
      <w:r>
        <w:rPr>
          <w:rFonts w:hint="eastAsia" w:ascii="仿宋" w:hAnsi="仿宋" w:eastAsia="仿宋" w:cs="宋体"/>
          <w:snapToGrid w:val="0"/>
          <w:color w:val="000000"/>
          <w:kern w:val="0"/>
          <w:sz w:val="32"/>
          <w:szCs w:val="32"/>
        </w:rPr>
        <w:t>发藏医药健康旅游体验产品。依托G318等交通干线及山地、峡谷、森林地貌，培育山地户外运动、高原生态康养、民族文化体验等运动健康与康复产业。规范发展第三方专业服务与评价，支持区域医学检验、影像诊断、等第三方机构，探索引入第三方服务质量评价，提升行业规范化水平。</w:t>
      </w:r>
      <w:bookmarkStart w:id="243" w:name="OLE_LINK114"/>
    </w:p>
    <w:bookmarkEnd w:id="243"/>
    <w:p w14:paraId="790DBCF8">
      <w:pPr>
        <w:keepNext/>
        <w:keepLines/>
        <w:autoSpaceDE w:val="0"/>
        <w:autoSpaceDN w:val="0"/>
        <w:spacing w:line="360" w:lineRule="auto"/>
        <w:ind w:firstLine="640" w:firstLineChars="200"/>
        <w:jc w:val="left"/>
        <w:outlineLvl w:val="0"/>
        <w:rPr>
          <w:rFonts w:ascii="黑体" w:hAnsi="黑体" w:eastAsia="黑体" w:cs="Times New Roman"/>
          <w:kern w:val="44"/>
          <w:sz w:val="32"/>
          <w:szCs w:val="32"/>
        </w:rPr>
      </w:pPr>
      <w:bookmarkStart w:id="244" w:name="_Toc235857882"/>
      <w:bookmarkStart w:id="245" w:name="_Toc225367706"/>
      <w:bookmarkStart w:id="246" w:name="_Toc224128939"/>
      <w:bookmarkStart w:id="247" w:name="_Toc1292615228"/>
      <w:bookmarkStart w:id="248" w:name="_Toc237847445"/>
      <w:bookmarkStart w:id="249" w:name="_Toc229475505"/>
      <w:r>
        <w:rPr>
          <w:rFonts w:hint="eastAsia" w:ascii="黑体" w:hAnsi="黑体" w:eastAsia="黑体" w:cs="Times New Roman"/>
          <w:kern w:val="44"/>
          <w:sz w:val="32"/>
          <w:szCs w:val="32"/>
        </w:rPr>
        <w:t>九、夯实事业发展基础</w:t>
      </w:r>
      <w:bookmarkEnd w:id="244"/>
      <w:bookmarkEnd w:id="245"/>
      <w:bookmarkEnd w:id="246"/>
      <w:bookmarkEnd w:id="247"/>
      <w:bookmarkEnd w:id="248"/>
      <w:bookmarkEnd w:id="249"/>
    </w:p>
    <w:p w14:paraId="31C6001F">
      <w:pPr>
        <w:keepNext/>
        <w:keepLines/>
        <w:autoSpaceDE w:val="0"/>
        <w:autoSpaceDN w:val="0"/>
        <w:spacing w:before="156" w:beforeLines="50" w:line="360" w:lineRule="auto"/>
        <w:ind w:firstLine="643" w:firstLineChars="200"/>
        <w:outlineLvl w:val="1"/>
        <w:rPr>
          <w:rFonts w:ascii="仿宋" w:hAnsi="仿宋" w:eastAsia="仿宋" w:cs="Times New Roman"/>
          <w:b/>
          <w:sz w:val="32"/>
          <w:szCs w:val="32"/>
        </w:rPr>
      </w:pPr>
      <w:bookmarkStart w:id="250" w:name="_Toc224128940"/>
      <w:bookmarkStart w:id="251" w:name="_Toc1039563944"/>
      <w:bookmarkStart w:id="252" w:name="_Toc229475506"/>
      <w:bookmarkStart w:id="253" w:name="_Toc237847446"/>
      <w:bookmarkStart w:id="254" w:name="_Toc235857883"/>
      <w:bookmarkStart w:id="255" w:name="_Toc225367707"/>
      <w:r>
        <w:rPr>
          <w:rFonts w:hint="eastAsia" w:ascii="仿宋" w:hAnsi="仿宋" w:eastAsia="仿宋" w:cs="Times New Roman"/>
          <w:b/>
          <w:sz w:val="32"/>
          <w:szCs w:val="32"/>
        </w:rPr>
        <w:t>（一）加强人才队伍建设</w:t>
      </w:r>
      <w:bookmarkEnd w:id="250"/>
      <w:bookmarkEnd w:id="251"/>
      <w:bookmarkEnd w:id="252"/>
      <w:bookmarkEnd w:id="253"/>
      <w:bookmarkEnd w:id="254"/>
      <w:bookmarkEnd w:id="255"/>
    </w:p>
    <w:p w14:paraId="4E336A31">
      <w:pPr>
        <w:keepNext/>
        <w:keepLines/>
        <w:autoSpaceDE w:val="0"/>
        <w:autoSpaceDN w:val="0"/>
        <w:spacing w:line="360" w:lineRule="auto"/>
        <w:ind w:firstLine="643" w:firstLineChars="200"/>
        <w:outlineLvl w:val="2"/>
        <w:rPr>
          <w:rFonts w:ascii="仿宋" w:hAnsi="仿宋" w:eastAsia="仿宋" w:cs="Times New Roman"/>
          <w:b/>
          <w:bCs/>
          <w:color w:val="FF0000"/>
          <w:sz w:val="32"/>
          <w:szCs w:val="32"/>
        </w:rPr>
      </w:pPr>
      <w:r>
        <w:rPr>
          <w:rFonts w:hint="eastAsia" w:ascii="仿宋" w:hAnsi="仿宋" w:eastAsia="仿宋" w:cs="Times New Roman"/>
          <w:b/>
          <w:bCs/>
          <w:sz w:val="32"/>
          <w:szCs w:val="32"/>
        </w:rPr>
        <w:t xml:space="preserve">1.加快人才培养和引进 </w:t>
      </w:r>
      <w:r>
        <w:rPr>
          <w:rFonts w:hint="eastAsia" w:ascii="仿宋" w:hAnsi="仿宋" w:eastAsia="仿宋" w:cs="Times New Roman"/>
          <w:b/>
          <w:bCs/>
          <w:color w:val="FF0000"/>
          <w:sz w:val="32"/>
          <w:szCs w:val="32"/>
        </w:rPr>
        <w:t xml:space="preserve"> </w:t>
      </w:r>
    </w:p>
    <w:p w14:paraId="59E81135">
      <w:pPr>
        <w:adjustRightInd w:val="0"/>
        <w:snapToGrid w:val="0"/>
        <w:spacing w:line="360" w:lineRule="auto"/>
        <w:ind w:firstLine="640" w:firstLineChars="200"/>
        <w:rPr>
          <w:rFonts w:ascii="仿宋" w:hAnsi="仿宋" w:eastAsia="仿宋" w:cs="宋体"/>
          <w:snapToGrid w:val="0"/>
          <w:kern w:val="0"/>
          <w:sz w:val="32"/>
          <w:szCs w:val="32"/>
        </w:rPr>
      </w:pPr>
      <w:r>
        <w:rPr>
          <w:rFonts w:hint="eastAsia" w:ascii="仿宋" w:hAnsi="仿宋" w:eastAsia="仿宋" w:cs="宋体"/>
          <w:snapToGrid w:val="0"/>
          <w:kern w:val="0"/>
          <w:sz w:val="32"/>
          <w:szCs w:val="32"/>
        </w:rPr>
        <w:t>持续加大医疗机构人员培训培养，落实全员培训制度。构建院校教育与继续教育衔接、本地培训与外派进修相结合的人才培养模式，扩大定向医学生规模。依托市人民医院全科实训基地创建自治区级住培基地，强化医师实践技能。推行基层培训全覆盖，借力“组团式”援藏与专家“传帮带”，推广全科医生“三个一批”等模式。健全住培与继教制度，拓宽全科医生培养渠道，加大住培、助理全科培训、转岗培训及定向培养力度，夯实基层网底。建立人才需求动态评估机制，促进行业需求与院校技术与学术资源精准对接，选派骨干至对口援助省份、高校脱产培训。建立覆盖市县乡的远程教育平台。</w:t>
      </w:r>
    </w:p>
    <w:p w14:paraId="4430E124">
      <w:pPr>
        <w:adjustRightInd w:val="0"/>
        <w:snapToGrid w:val="0"/>
        <w:spacing w:line="360" w:lineRule="auto"/>
        <w:ind w:firstLine="640" w:firstLineChars="200"/>
        <w:rPr>
          <w:rFonts w:ascii="仿宋" w:hAnsi="仿宋" w:eastAsia="仿宋" w:cs="宋体"/>
          <w:snapToGrid w:val="0"/>
          <w:kern w:val="0"/>
          <w:sz w:val="32"/>
          <w:szCs w:val="32"/>
        </w:rPr>
      </w:pPr>
      <w:r>
        <w:rPr>
          <w:rFonts w:hint="eastAsia" w:ascii="仿宋" w:hAnsi="仿宋" w:eastAsia="仿宋" w:cs="宋体"/>
          <w:snapToGrid w:val="0"/>
          <w:kern w:val="0"/>
          <w:sz w:val="32"/>
          <w:szCs w:val="32"/>
        </w:rPr>
        <w:t>拓宽引才渠道，建立开放式用人机制，持续引进急需专业高层次人才。依托自治区“珠峰英才”等计划，引进临床重点专科、公卫、藏医药等领域学科带头人及创新团队。加强儿科、急诊、康复、老年、精神、公卫等紧缺人才对外招聘。优化人才发展环境，完善激励措施，让人才引得进、留得住、用得好。支持医疗机构返聘身体条件好、业务能力强的退休人员，充实基层力量。探索柔性引才制度，鼓励医疗机构自主引进急需人才，采取短期聘用、项目合作、技术指导等形式。实行目标管理考核，对完成任务突出的给予一次性奖励，经费纳入单位绩效总额。</w:t>
      </w:r>
    </w:p>
    <w:p w14:paraId="06312BDD">
      <w:pPr>
        <w:keepNext/>
        <w:keepLines/>
        <w:autoSpaceDE w:val="0"/>
        <w:autoSpaceDN w:val="0"/>
        <w:spacing w:line="360" w:lineRule="auto"/>
        <w:ind w:firstLine="643" w:firstLineChars="200"/>
        <w:outlineLvl w:val="2"/>
        <w:rPr>
          <w:rFonts w:ascii="仿宋" w:hAnsi="仿宋" w:eastAsia="仿宋" w:cs="Times New Roman"/>
          <w:b/>
          <w:bCs/>
          <w:sz w:val="32"/>
          <w:szCs w:val="32"/>
        </w:rPr>
      </w:pPr>
      <w:r>
        <w:rPr>
          <w:rFonts w:hint="eastAsia" w:ascii="仿宋" w:hAnsi="仿宋" w:eastAsia="仿宋" w:cs="Times New Roman"/>
          <w:b/>
          <w:bCs/>
          <w:sz w:val="32"/>
          <w:szCs w:val="32"/>
        </w:rPr>
        <w:t>2.推进人事制度改革</w:t>
      </w:r>
    </w:p>
    <w:p w14:paraId="75FA8BEC">
      <w:pPr>
        <w:adjustRightInd w:val="0"/>
        <w:snapToGrid w:val="0"/>
        <w:spacing w:line="360" w:lineRule="auto"/>
        <w:ind w:firstLine="640" w:firstLineChars="200"/>
        <w:rPr>
          <w:rFonts w:ascii="仿宋" w:hAnsi="仿宋" w:eastAsia="仿宋" w:cs="宋体"/>
          <w:snapToGrid w:val="0"/>
          <w:kern w:val="0"/>
          <w:sz w:val="32"/>
          <w:szCs w:val="32"/>
        </w:rPr>
      </w:pPr>
      <w:r>
        <w:rPr>
          <w:rFonts w:hint="eastAsia" w:ascii="仿宋" w:hAnsi="仿宋" w:eastAsia="仿宋" w:cs="宋体"/>
          <w:snapToGrid w:val="0"/>
          <w:kern w:val="0"/>
          <w:sz w:val="32"/>
          <w:szCs w:val="32"/>
        </w:rPr>
        <w:t>全面落实医疗卫生机构用人自主权，实行公立医院院长年薪制、岗位竞聘制等，建立“能上能下、能进能出”的灵活用人机制。深化职称制度改革，动态提高中高级岗位比例，重点向基层一线倾斜。完善基层医疗卫生机构绩效工资制度，足额落实乡镇卫生院人员待遇，建立健全津贴补贴动态调整机制。</w:t>
      </w:r>
    </w:p>
    <w:p w14:paraId="652788C9">
      <w:pPr>
        <w:keepNext/>
        <w:keepLines/>
        <w:autoSpaceDE w:val="0"/>
        <w:autoSpaceDN w:val="0"/>
        <w:spacing w:line="360" w:lineRule="auto"/>
        <w:ind w:firstLine="643" w:firstLineChars="200"/>
        <w:outlineLvl w:val="2"/>
        <w:rPr>
          <w:rFonts w:ascii="仿宋" w:hAnsi="仿宋" w:eastAsia="仿宋" w:cs="Times New Roman"/>
          <w:b/>
          <w:bCs/>
          <w:color w:val="FF0000"/>
          <w:sz w:val="32"/>
          <w:szCs w:val="32"/>
        </w:rPr>
      </w:pPr>
      <w:r>
        <w:rPr>
          <w:rFonts w:hint="eastAsia" w:ascii="仿宋" w:hAnsi="仿宋" w:eastAsia="仿宋" w:cs="Times New Roman"/>
          <w:b/>
          <w:bCs/>
          <w:sz w:val="32"/>
          <w:szCs w:val="32"/>
        </w:rPr>
        <w:t>3.深化医疗援藏工作机制</w:t>
      </w:r>
    </w:p>
    <w:p w14:paraId="2B85E513">
      <w:pPr>
        <w:adjustRightInd w:val="0"/>
        <w:snapToGrid w:val="0"/>
        <w:spacing w:line="360" w:lineRule="auto"/>
        <w:ind w:firstLine="640" w:firstLineChars="200"/>
        <w:rPr>
          <w:rFonts w:ascii="仿宋" w:hAnsi="仿宋" w:eastAsia="仿宋" w:cs="宋体"/>
          <w:snapToGrid w:val="0"/>
          <w:kern w:val="0"/>
          <w:sz w:val="32"/>
          <w:szCs w:val="32"/>
        </w:rPr>
      </w:pPr>
      <w:r>
        <w:rPr>
          <w:rFonts w:hint="eastAsia" w:ascii="仿宋" w:hAnsi="仿宋" w:eastAsia="仿宋" w:cs="宋体"/>
          <w:snapToGrid w:val="0"/>
          <w:kern w:val="0"/>
          <w:sz w:val="32"/>
          <w:szCs w:val="32"/>
        </w:rPr>
        <w:t>坚持管理与技术“两条腿走路”，明确援藏专家“抓管理、带队伍、传技术”职能，推动援藏从单纯技术帮扶向管理赋能、人才与学科建设并重转变。建立援藏成效评估机制，将人才培养、技术平移、管理提升纳入考核，确保援藏人力资源发挥系统效益。鼓励援藏力量向乡镇卫生院延伸，补齐基层短板。依托广东省优质资源，集中建设心脑血管等重点学科集群，打造市人民医院高原心血管病治疗中心等品牌，以优势学科带动全市医疗服务能力整体提升。</w:t>
      </w:r>
    </w:p>
    <w:p w14:paraId="596676CF">
      <w:pPr>
        <w:keepNext/>
        <w:keepLines/>
        <w:autoSpaceDE w:val="0"/>
        <w:autoSpaceDN w:val="0"/>
        <w:spacing w:before="156" w:beforeLines="50" w:line="360" w:lineRule="auto"/>
        <w:ind w:firstLine="643" w:firstLineChars="200"/>
        <w:outlineLvl w:val="1"/>
        <w:rPr>
          <w:rFonts w:ascii="仿宋" w:hAnsi="仿宋" w:eastAsia="仿宋" w:cs="Times New Roman"/>
          <w:b/>
          <w:sz w:val="32"/>
          <w:szCs w:val="32"/>
        </w:rPr>
      </w:pPr>
      <w:bookmarkStart w:id="256" w:name="_Toc235857884"/>
      <w:bookmarkStart w:id="257" w:name="_Toc229475507"/>
      <w:bookmarkStart w:id="258" w:name="_Toc225367708"/>
      <w:bookmarkStart w:id="259" w:name="_Toc224128941"/>
      <w:bookmarkStart w:id="260" w:name="_Toc24254816"/>
      <w:bookmarkStart w:id="261" w:name="_Toc237847447"/>
      <w:r>
        <w:rPr>
          <w:rFonts w:hint="eastAsia" w:ascii="仿宋" w:hAnsi="仿宋" w:eastAsia="仿宋" w:cs="Times New Roman"/>
          <w:b/>
          <w:sz w:val="32"/>
          <w:szCs w:val="32"/>
        </w:rPr>
        <w:t>（二）推动医教研协同创新</w:t>
      </w:r>
      <w:bookmarkEnd w:id="256"/>
      <w:bookmarkEnd w:id="257"/>
      <w:bookmarkEnd w:id="258"/>
      <w:bookmarkEnd w:id="259"/>
      <w:bookmarkEnd w:id="260"/>
      <w:bookmarkEnd w:id="261"/>
    </w:p>
    <w:p w14:paraId="31089A1E">
      <w:pPr>
        <w:keepNext/>
        <w:keepLines/>
        <w:autoSpaceDE w:val="0"/>
        <w:autoSpaceDN w:val="0"/>
        <w:spacing w:line="360" w:lineRule="auto"/>
        <w:ind w:firstLine="643" w:firstLineChars="200"/>
        <w:outlineLvl w:val="2"/>
        <w:rPr>
          <w:rFonts w:ascii="仿宋" w:hAnsi="仿宋" w:eastAsia="仿宋" w:cs="Times New Roman"/>
          <w:b/>
          <w:bCs/>
          <w:sz w:val="32"/>
          <w:szCs w:val="32"/>
        </w:rPr>
      </w:pPr>
      <w:r>
        <w:rPr>
          <w:rFonts w:hint="eastAsia" w:ascii="仿宋" w:hAnsi="仿宋" w:eastAsia="仿宋" w:cs="Times New Roman"/>
          <w:b/>
          <w:bCs/>
          <w:sz w:val="32"/>
          <w:szCs w:val="32"/>
        </w:rPr>
        <w:t>1.构建多层次医教研协同创新平台</w:t>
      </w:r>
    </w:p>
    <w:p w14:paraId="62C026D4">
      <w:pPr>
        <w:adjustRightInd w:val="0"/>
        <w:snapToGrid w:val="0"/>
        <w:spacing w:line="360" w:lineRule="auto"/>
        <w:ind w:firstLine="640" w:firstLineChars="200"/>
        <w:rPr>
          <w:rFonts w:ascii="仿宋" w:hAnsi="仿宋" w:eastAsia="仿宋" w:cs="宋体"/>
          <w:snapToGrid w:val="0"/>
          <w:kern w:val="0"/>
          <w:sz w:val="32"/>
          <w:szCs w:val="32"/>
        </w:rPr>
      </w:pPr>
      <w:r>
        <w:rPr>
          <w:rFonts w:hint="eastAsia" w:ascii="仿宋" w:hAnsi="仿宋" w:eastAsia="仿宋" w:cs="宋体"/>
          <w:snapToGrid w:val="0"/>
          <w:kern w:val="0"/>
          <w:sz w:val="32"/>
          <w:szCs w:val="32"/>
        </w:rPr>
        <w:t>依托高水平医疗机构及科研院所，引进国家级实验室、临床医学研究中心等在林芝设立区域实验室或分中心，建设院士及专家工作站。搭建市级卫生健康科研平台，建设一批省市级临床医学研究中心、重点实验室和重点学科，形成国家、自治区、市三级平台联动互补格局。支持公立医院与医药企业、高新产业园区合作，建立联合研发机构、创新联盟和成果转化中心，强化基础研究、应用研究与临床转化衔接。</w:t>
      </w:r>
    </w:p>
    <w:p w14:paraId="59E3094E">
      <w:pPr>
        <w:keepNext/>
        <w:keepLines/>
        <w:autoSpaceDE w:val="0"/>
        <w:autoSpaceDN w:val="0"/>
        <w:spacing w:line="360" w:lineRule="auto"/>
        <w:ind w:firstLine="643" w:firstLineChars="200"/>
        <w:outlineLvl w:val="2"/>
        <w:rPr>
          <w:rFonts w:ascii="仿宋" w:hAnsi="仿宋" w:eastAsia="仿宋" w:cs="Times New Roman"/>
          <w:b/>
          <w:bCs/>
          <w:sz w:val="32"/>
          <w:szCs w:val="32"/>
        </w:rPr>
      </w:pPr>
      <w:r>
        <w:rPr>
          <w:rFonts w:hint="eastAsia" w:ascii="仿宋" w:hAnsi="仿宋" w:eastAsia="仿宋" w:cs="Times New Roman"/>
          <w:b/>
          <w:bCs/>
          <w:sz w:val="32"/>
          <w:szCs w:val="32"/>
        </w:rPr>
        <w:t>2.攻关关键技术并加速转化</w:t>
      </w:r>
    </w:p>
    <w:p w14:paraId="0481A520">
      <w:pPr>
        <w:adjustRightInd w:val="0"/>
        <w:snapToGrid w:val="0"/>
        <w:spacing w:line="360" w:lineRule="auto"/>
        <w:ind w:firstLine="640" w:firstLineChars="200"/>
        <w:rPr>
          <w:rFonts w:ascii="仿宋" w:hAnsi="仿宋" w:eastAsia="仿宋" w:cs="宋体"/>
          <w:snapToGrid w:val="0"/>
          <w:kern w:val="0"/>
          <w:sz w:val="32"/>
          <w:szCs w:val="32"/>
        </w:rPr>
      </w:pPr>
      <w:r>
        <w:rPr>
          <w:rFonts w:hint="eastAsia" w:ascii="仿宋" w:hAnsi="仿宋" w:eastAsia="仿宋" w:cs="宋体"/>
          <w:snapToGrid w:val="0"/>
          <w:kern w:val="0"/>
          <w:sz w:val="32"/>
          <w:szCs w:val="32"/>
        </w:rPr>
        <w:t>聚焦本地疾病谱防控、临床诊疗能力提升、医防融合、高端医疗装备、生物医药等重点方向，组织实施一批具有前瞻性、战略性的重点科研项目。支持骨干企业牵头或参与核心技术研发，形成一批具有自主知识产权的创新产品和临床技术方案。打造关键技术平台，推动国产高端医疗装备在高原环境下的示范应用与迭代升级，建立新技术、新项目临床转化绿色通道，鼓励规范化应用与推广。加强对重大传染病、慢性病、地方病防治技术攻关，力争在疾病早期预警、精准诊疗、康复管理等领域取得突破。</w:t>
      </w:r>
    </w:p>
    <w:p w14:paraId="4FA9C7E9">
      <w:pPr>
        <w:keepNext/>
        <w:keepLines/>
        <w:autoSpaceDE w:val="0"/>
        <w:autoSpaceDN w:val="0"/>
        <w:spacing w:line="360" w:lineRule="auto"/>
        <w:ind w:firstLine="643" w:firstLineChars="200"/>
        <w:outlineLvl w:val="2"/>
        <w:rPr>
          <w:rFonts w:ascii="仿宋" w:hAnsi="仿宋" w:eastAsia="仿宋" w:cs="Times New Roman"/>
          <w:b/>
          <w:bCs/>
          <w:sz w:val="32"/>
          <w:szCs w:val="32"/>
        </w:rPr>
      </w:pPr>
      <w:r>
        <w:rPr>
          <w:rFonts w:hint="eastAsia" w:ascii="仿宋" w:hAnsi="仿宋" w:eastAsia="仿宋" w:cs="Times New Roman"/>
          <w:b/>
          <w:bCs/>
          <w:sz w:val="32"/>
          <w:szCs w:val="32"/>
        </w:rPr>
        <w:t>3.完善创新保障机制</w:t>
      </w:r>
    </w:p>
    <w:p w14:paraId="3C027B6B">
      <w:pPr>
        <w:adjustRightInd w:val="0"/>
        <w:snapToGrid w:val="0"/>
        <w:spacing w:line="360" w:lineRule="auto"/>
        <w:ind w:firstLine="640" w:firstLineChars="200"/>
        <w:rPr>
          <w:rFonts w:ascii="仿宋" w:hAnsi="仿宋" w:eastAsia="仿宋" w:cs="宋体"/>
          <w:snapToGrid w:val="0"/>
          <w:kern w:val="0"/>
          <w:sz w:val="32"/>
          <w:szCs w:val="32"/>
        </w:rPr>
      </w:pPr>
      <w:r>
        <w:rPr>
          <w:rFonts w:hint="eastAsia" w:ascii="仿宋" w:hAnsi="仿宋" w:eastAsia="仿宋" w:cs="宋体"/>
          <w:snapToGrid w:val="0"/>
          <w:kern w:val="0"/>
          <w:sz w:val="32"/>
          <w:szCs w:val="32"/>
        </w:rPr>
        <w:t>全面推进创新型医院建设，确保公立医院科研经费投入，建立稳定增长机制。深化科研项目管理、经费使用与人才评价机制改革，赋予创新主体更大自主权。加强临床科研复合型人才的培养、引进与激励，依托重大项目平台培育本土科研团队。建立政府引导、单位投入、社会资本参与的多元化科技投入机制，保障科研平台可持续运行与重点项目实施。</w:t>
      </w:r>
    </w:p>
    <w:p w14:paraId="131DFB20">
      <w:pPr>
        <w:keepNext/>
        <w:keepLines/>
        <w:autoSpaceDE w:val="0"/>
        <w:autoSpaceDN w:val="0"/>
        <w:spacing w:before="156" w:beforeLines="50" w:line="360" w:lineRule="auto"/>
        <w:ind w:firstLine="643" w:firstLineChars="200"/>
        <w:outlineLvl w:val="1"/>
        <w:rPr>
          <w:rFonts w:ascii="仿宋" w:hAnsi="仿宋" w:eastAsia="仿宋" w:cs="Times New Roman"/>
          <w:b/>
          <w:sz w:val="32"/>
          <w:szCs w:val="32"/>
        </w:rPr>
      </w:pPr>
      <w:bookmarkStart w:id="262" w:name="_Toc237847448"/>
      <w:bookmarkStart w:id="263" w:name="_Toc229475508"/>
      <w:bookmarkStart w:id="264" w:name="_Toc1776283229"/>
      <w:bookmarkStart w:id="265" w:name="_Toc224128942"/>
      <w:bookmarkStart w:id="266" w:name="_Toc235857885"/>
      <w:bookmarkStart w:id="267" w:name="_Toc225367709"/>
      <w:r>
        <w:rPr>
          <w:rFonts w:hint="eastAsia" w:ascii="仿宋" w:hAnsi="仿宋" w:eastAsia="仿宋" w:cs="Times New Roman"/>
          <w:b/>
          <w:sz w:val="32"/>
          <w:szCs w:val="32"/>
        </w:rPr>
        <w:t>（三）提升依法治理水平</w:t>
      </w:r>
      <w:bookmarkEnd w:id="262"/>
      <w:bookmarkEnd w:id="263"/>
      <w:bookmarkEnd w:id="264"/>
      <w:bookmarkEnd w:id="265"/>
      <w:bookmarkEnd w:id="266"/>
      <w:bookmarkEnd w:id="267"/>
    </w:p>
    <w:p w14:paraId="072445F3">
      <w:pPr>
        <w:keepNext/>
        <w:keepLines/>
        <w:autoSpaceDE w:val="0"/>
        <w:autoSpaceDN w:val="0"/>
        <w:spacing w:line="360" w:lineRule="auto"/>
        <w:ind w:firstLine="643" w:firstLineChars="200"/>
        <w:outlineLvl w:val="2"/>
        <w:rPr>
          <w:rFonts w:ascii="仿宋" w:hAnsi="仿宋" w:eastAsia="仿宋" w:cs="Times New Roman"/>
          <w:b/>
          <w:bCs/>
          <w:sz w:val="32"/>
          <w:szCs w:val="32"/>
        </w:rPr>
      </w:pPr>
      <w:r>
        <w:rPr>
          <w:rFonts w:hint="eastAsia" w:ascii="仿宋" w:hAnsi="仿宋" w:eastAsia="仿宋" w:cs="Times New Roman"/>
          <w:b/>
          <w:bCs/>
          <w:sz w:val="32"/>
          <w:szCs w:val="32"/>
        </w:rPr>
        <w:t>1.健全行业监管体系</w:t>
      </w:r>
    </w:p>
    <w:p w14:paraId="0271913D">
      <w:pPr>
        <w:adjustRightInd w:val="0"/>
        <w:snapToGrid w:val="0"/>
        <w:spacing w:line="360" w:lineRule="auto"/>
        <w:ind w:firstLine="640" w:firstLineChars="200"/>
        <w:rPr>
          <w:rFonts w:ascii="仿宋" w:hAnsi="仿宋" w:eastAsia="仿宋" w:cs="宋体"/>
          <w:snapToGrid w:val="0"/>
          <w:kern w:val="0"/>
          <w:sz w:val="32"/>
          <w:szCs w:val="32"/>
        </w:rPr>
      </w:pPr>
      <w:r>
        <w:rPr>
          <w:rFonts w:hint="eastAsia" w:ascii="仿宋" w:hAnsi="仿宋" w:eastAsia="仿宋" w:cs="宋体"/>
          <w:snapToGrid w:val="0"/>
          <w:kern w:val="0"/>
          <w:sz w:val="32"/>
          <w:szCs w:val="32"/>
        </w:rPr>
        <w:t>将法治理念全面融入卫生健康治理各环节，构建覆盖医疗卫生全行业、全流程的综合监管体系。推进“互联网+监管”，利用信息化手段实现诊疗行为、药品耗材采购、医疗费用等关键环节的动态监测与预警。全面推行医疗机构及医务人员不良执业行为记分管理制度，将结果与机构校验、等级评审、绩效考核、职称评聘等挂钩。强化药品、医用耗材集中采购全链条监管，完善供应保障与临床使用评价机制。持续开展无证执业清零、打击非法行医、违法医疗广告、欺诈骗保等专项整治行动，加强多部门联合执法力度，维护公平有序、安全可靠的医疗市场环境。持续开展医德医风、法治宣传教育、医院巡查、质量安全检查等工作，严厉打击医药腐败现象。</w:t>
      </w:r>
    </w:p>
    <w:p w14:paraId="71AC77DF">
      <w:pPr>
        <w:keepNext/>
        <w:keepLines/>
        <w:autoSpaceDE w:val="0"/>
        <w:autoSpaceDN w:val="0"/>
        <w:spacing w:line="360" w:lineRule="auto"/>
        <w:ind w:firstLine="643" w:firstLineChars="200"/>
        <w:outlineLvl w:val="2"/>
        <w:rPr>
          <w:rFonts w:ascii="仿宋" w:hAnsi="仿宋" w:eastAsia="仿宋" w:cs="Times New Roman"/>
          <w:b/>
          <w:bCs/>
          <w:sz w:val="32"/>
          <w:szCs w:val="32"/>
        </w:rPr>
      </w:pPr>
      <w:r>
        <w:rPr>
          <w:rFonts w:hint="eastAsia" w:ascii="仿宋" w:hAnsi="仿宋" w:eastAsia="仿宋" w:cs="Times New Roman"/>
          <w:b/>
          <w:bCs/>
          <w:sz w:val="32"/>
          <w:szCs w:val="32"/>
        </w:rPr>
        <w:t>2.优化卫生行政服务</w:t>
      </w:r>
    </w:p>
    <w:p w14:paraId="5695A7DE">
      <w:pPr>
        <w:adjustRightInd w:val="0"/>
        <w:snapToGrid w:val="0"/>
        <w:spacing w:line="360" w:lineRule="auto"/>
        <w:ind w:firstLine="640" w:firstLineChars="200"/>
        <w:rPr>
          <w:rFonts w:ascii="仿宋" w:hAnsi="仿宋" w:eastAsia="仿宋" w:cs="宋体"/>
          <w:snapToGrid w:val="0"/>
          <w:color w:val="000000"/>
          <w:kern w:val="0"/>
          <w:sz w:val="32"/>
          <w:szCs w:val="32"/>
        </w:rPr>
      </w:pPr>
      <w:r>
        <w:rPr>
          <w:rFonts w:hint="eastAsia" w:ascii="仿宋" w:hAnsi="仿宋" w:eastAsia="仿宋" w:cs="宋体"/>
          <w:snapToGrid w:val="0"/>
          <w:kern w:val="0"/>
          <w:sz w:val="32"/>
          <w:szCs w:val="32"/>
        </w:rPr>
        <w:t>推进卫生健康领域改革，动态调整政府权责清单和涉企经营许可事项清单。压缩行政审批时限，优化医疗机构设置审批、执业登记、医师护士注册等流程。建立健全基于风险分类的包容审慎监管机制，对新兴业态实施柔性监管和指导。持续提升政务服务规范化、便利化水平，实现线上办理与跨区域办理。营造稳定公平透明可预期的市场化法治化环境。</w:t>
      </w:r>
    </w:p>
    <w:p w14:paraId="6B0E8206">
      <w:pPr>
        <w:keepNext/>
        <w:keepLines/>
        <w:autoSpaceDE w:val="0"/>
        <w:autoSpaceDN w:val="0"/>
        <w:spacing w:before="156" w:beforeLines="50" w:line="360" w:lineRule="auto"/>
        <w:ind w:firstLine="643" w:firstLineChars="200"/>
        <w:outlineLvl w:val="1"/>
        <w:rPr>
          <w:rFonts w:ascii="仿宋" w:hAnsi="仿宋" w:eastAsia="仿宋" w:cs="Times New Roman"/>
          <w:b/>
          <w:sz w:val="32"/>
          <w:szCs w:val="32"/>
        </w:rPr>
      </w:pPr>
      <w:bookmarkStart w:id="268" w:name="_Toc1822052856"/>
      <w:bookmarkStart w:id="269" w:name="_Toc229475509"/>
      <w:bookmarkStart w:id="270" w:name="_Toc235857886"/>
      <w:bookmarkStart w:id="271" w:name="_Toc237847449"/>
      <w:bookmarkStart w:id="272" w:name="_Toc224128943"/>
      <w:bookmarkStart w:id="273" w:name="_Toc225367710"/>
      <w:r>
        <w:rPr>
          <w:rFonts w:hint="eastAsia" w:ascii="仿宋" w:hAnsi="仿宋" w:eastAsia="仿宋" w:cs="Times New Roman"/>
          <w:b/>
          <w:sz w:val="32"/>
          <w:szCs w:val="32"/>
        </w:rPr>
        <w:t>（四）推动全民健康数智化转型</w:t>
      </w:r>
      <w:bookmarkEnd w:id="268"/>
      <w:bookmarkEnd w:id="269"/>
      <w:bookmarkEnd w:id="270"/>
      <w:bookmarkEnd w:id="271"/>
      <w:bookmarkEnd w:id="272"/>
      <w:bookmarkEnd w:id="273"/>
    </w:p>
    <w:p w14:paraId="36B9E10B">
      <w:pPr>
        <w:keepNext/>
        <w:keepLines/>
        <w:autoSpaceDE w:val="0"/>
        <w:autoSpaceDN w:val="0"/>
        <w:spacing w:line="360" w:lineRule="auto"/>
        <w:ind w:firstLine="643" w:firstLineChars="200"/>
        <w:outlineLvl w:val="2"/>
        <w:rPr>
          <w:rFonts w:ascii="仿宋" w:hAnsi="仿宋" w:eastAsia="仿宋" w:cs="Times New Roman"/>
          <w:b/>
          <w:bCs/>
          <w:sz w:val="32"/>
          <w:szCs w:val="32"/>
        </w:rPr>
      </w:pPr>
      <w:r>
        <w:rPr>
          <w:rFonts w:hint="eastAsia" w:ascii="仿宋" w:hAnsi="仿宋" w:eastAsia="仿宋" w:cs="Times New Roman"/>
          <w:b/>
          <w:bCs/>
          <w:sz w:val="32"/>
          <w:szCs w:val="32"/>
        </w:rPr>
        <w:t>1.夯实健康数智化基础</w:t>
      </w:r>
    </w:p>
    <w:p w14:paraId="77A437E9">
      <w:pPr>
        <w:adjustRightInd w:val="0"/>
        <w:snapToGrid w:val="0"/>
        <w:spacing w:line="360" w:lineRule="auto"/>
        <w:ind w:firstLine="640" w:firstLineChars="200"/>
        <w:rPr>
          <w:rFonts w:ascii="仿宋" w:hAnsi="仿宋" w:eastAsia="仿宋" w:cs="宋体"/>
          <w:snapToGrid w:val="0"/>
          <w:kern w:val="0"/>
          <w:sz w:val="32"/>
          <w:szCs w:val="32"/>
        </w:rPr>
      </w:pPr>
      <w:r>
        <w:rPr>
          <w:rFonts w:hint="eastAsia" w:ascii="仿宋" w:hAnsi="仿宋" w:eastAsia="仿宋" w:cs="宋体"/>
          <w:snapToGrid w:val="0"/>
          <w:kern w:val="0"/>
          <w:sz w:val="32"/>
          <w:szCs w:val="32"/>
        </w:rPr>
        <w:t>加快推进“人工智能+医疗卫生”发展应用，深化人口地图赋能，系统推进“夯实数字基座—深化场景赋能—促进产业协同—健全治理体系”发展路径。统筹推进全民健康信息平台升级，构建安全可信医疗数据空间。依托“林芝健康云”平台，应用AI智能体、数字人等前沿技术，深化市民健康信息互联互通，推动服务向覆盖“防治康管”的全生命周期健康管理延伸，打造一批便民、助医、辅政、促研的典型应用场景。进一步汇聚大数据，推动核心医疗数据在授权范围内顺畅流通与有效使用，提升互联互通水平，到2030年建成覆盖全市公立医疗机构的智慧医疗协同网络。</w:t>
      </w:r>
    </w:p>
    <w:p w14:paraId="47003184">
      <w:pPr>
        <w:keepNext/>
        <w:keepLines/>
        <w:autoSpaceDE w:val="0"/>
        <w:autoSpaceDN w:val="0"/>
        <w:spacing w:line="360" w:lineRule="auto"/>
        <w:ind w:firstLine="643" w:firstLineChars="200"/>
        <w:outlineLvl w:val="2"/>
        <w:rPr>
          <w:rFonts w:ascii="仿宋" w:hAnsi="仿宋" w:eastAsia="仿宋" w:cs="Times New Roman"/>
          <w:b/>
          <w:bCs/>
          <w:sz w:val="32"/>
          <w:szCs w:val="32"/>
        </w:rPr>
      </w:pPr>
      <w:r>
        <w:rPr>
          <w:rFonts w:hint="eastAsia" w:ascii="仿宋" w:hAnsi="仿宋" w:eastAsia="仿宋" w:cs="Times New Roman"/>
          <w:b/>
          <w:bCs/>
          <w:sz w:val="32"/>
          <w:szCs w:val="32"/>
        </w:rPr>
        <w:t>2.拓展健康大数据创新应用</w:t>
      </w:r>
    </w:p>
    <w:p w14:paraId="374B3F01">
      <w:pPr>
        <w:adjustRightInd w:val="0"/>
        <w:snapToGrid w:val="0"/>
        <w:spacing w:line="360" w:lineRule="auto"/>
        <w:ind w:firstLine="640" w:firstLineChars="200"/>
        <w:rPr>
          <w:rFonts w:ascii="仿宋" w:hAnsi="仿宋" w:eastAsia="仿宋" w:cs="宋体"/>
          <w:snapToGrid w:val="0"/>
          <w:kern w:val="0"/>
          <w:sz w:val="32"/>
          <w:szCs w:val="32"/>
        </w:rPr>
      </w:pPr>
      <w:r>
        <w:rPr>
          <w:rFonts w:hint="eastAsia" w:ascii="仿宋" w:hAnsi="仿宋" w:eastAsia="仿宋" w:cs="宋体"/>
          <w:snapToGrid w:val="0"/>
          <w:kern w:val="0"/>
          <w:sz w:val="32"/>
          <w:szCs w:val="32"/>
        </w:rPr>
        <w:t>构建涵盖基础支撑、应用服务、产业协同、管理体系的健康大数据发展生态。加强数据标准化建设与全周期安全管理，推动大数据在临床诊疗、公共卫生、医学研究和行业治理等方面的深度应用。重点推动“人工智能+”在基层医疗、临床诊疗与患者服务三大领域的深度融合，推广医学影像智能诊断服务、拓展临床专病辅助诊疗服务、加强紧密型县域医共体智能应用、建立基层医生智能辅助诊疗应用。持续强化全民健康信息平台基础上数据服务能力，联合高水平医疗机构共建医疗大数据创新实验室。开展智慧医院示范创建活动，深化“人工智能+医疗卫生”融合创新，促进算法、算力、数据与临床应用及管理场景的有效结合。</w:t>
      </w:r>
    </w:p>
    <w:p w14:paraId="0363F5B4">
      <w:pPr>
        <w:adjustRightInd w:val="0"/>
        <w:snapToGrid w:val="0"/>
        <w:spacing w:line="360" w:lineRule="auto"/>
        <w:ind w:firstLine="480" w:firstLineChars="200"/>
        <w:rPr>
          <w:rFonts w:ascii="Times New Roman" w:hAnsi="Times New Roman" w:eastAsia="宋体" w:cs="Times New Roman"/>
          <w:sz w:val="24"/>
          <w:szCs w:val="24"/>
        </w:rPr>
      </w:pPr>
    </w:p>
    <w:p w14:paraId="68F4AFC8">
      <w:pPr>
        <w:keepNext/>
        <w:keepLines/>
        <w:autoSpaceDE w:val="0"/>
        <w:autoSpaceDN w:val="0"/>
        <w:spacing w:line="360" w:lineRule="auto"/>
        <w:ind w:firstLine="640" w:firstLineChars="200"/>
        <w:jc w:val="left"/>
        <w:outlineLvl w:val="0"/>
        <w:rPr>
          <w:rFonts w:ascii="黑体" w:hAnsi="黑体" w:eastAsia="黑体" w:cs="Times New Roman"/>
          <w:kern w:val="44"/>
          <w:sz w:val="32"/>
          <w:szCs w:val="32"/>
        </w:rPr>
      </w:pPr>
      <w:bookmarkStart w:id="274" w:name="_Toc125544572"/>
      <w:bookmarkStart w:id="275" w:name="_Toc229475510"/>
      <w:bookmarkStart w:id="276" w:name="_Toc225259899"/>
      <w:bookmarkStart w:id="277" w:name="_Toc237847450"/>
      <w:bookmarkStart w:id="278" w:name="_Toc235857887"/>
      <w:bookmarkStart w:id="279" w:name="_Toc225259828"/>
      <w:bookmarkStart w:id="280" w:name="_Toc225367711"/>
      <w:bookmarkStart w:id="281" w:name="OLE_LINK11"/>
      <w:r>
        <w:rPr>
          <w:rFonts w:hint="eastAsia" w:ascii="黑体" w:hAnsi="黑体" w:eastAsia="黑体" w:cs="Times New Roman"/>
          <w:kern w:val="44"/>
          <w:sz w:val="32"/>
          <w:szCs w:val="32"/>
        </w:rPr>
        <w:t>十、</w:t>
      </w:r>
      <w:bookmarkEnd w:id="274"/>
      <w:r>
        <w:rPr>
          <w:rFonts w:hint="eastAsia" w:ascii="黑体" w:hAnsi="黑体" w:eastAsia="黑体" w:cs="Times New Roman"/>
          <w:kern w:val="44"/>
          <w:sz w:val="32"/>
          <w:szCs w:val="32"/>
        </w:rPr>
        <w:t>保障措施</w:t>
      </w:r>
      <w:bookmarkEnd w:id="275"/>
      <w:bookmarkEnd w:id="276"/>
      <w:bookmarkEnd w:id="277"/>
      <w:bookmarkEnd w:id="278"/>
      <w:bookmarkEnd w:id="279"/>
      <w:bookmarkEnd w:id="280"/>
    </w:p>
    <w:p w14:paraId="41EEE5B0">
      <w:pPr>
        <w:keepNext/>
        <w:keepLines/>
        <w:autoSpaceDE w:val="0"/>
        <w:autoSpaceDN w:val="0"/>
        <w:spacing w:before="156" w:beforeLines="50" w:line="360" w:lineRule="auto"/>
        <w:ind w:firstLine="643" w:firstLineChars="200"/>
        <w:outlineLvl w:val="1"/>
        <w:rPr>
          <w:rFonts w:ascii="仿宋" w:hAnsi="仿宋" w:eastAsia="仿宋" w:cs="Times New Roman"/>
          <w:b/>
          <w:sz w:val="32"/>
          <w:szCs w:val="32"/>
        </w:rPr>
      </w:pPr>
      <w:bookmarkStart w:id="282" w:name="_Toc224128945"/>
      <w:bookmarkStart w:id="283" w:name="_Toc1198680250"/>
      <w:bookmarkStart w:id="284" w:name="_Toc229475511"/>
      <w:bookmarkStart w:id="285" w:name="_Toc235857888"/>
      <w:bookmarkStart w:id="286" w:name="_Toc225259900"/>
      <w:bookmarkStart w:id="287" w:name="_Toc225259829"/>
      <w:bookmarkStart w:id="288" w:name="_Toc225367712"/>
      <w:bookmarkStart w:id="289" w:name="_Toc237847451"/>
      <w:r>
        <w:rPr>
          <w:rFonts w:hint="eastAsia" w:ascii="仿宋" w:hAnsi="仿宋" w:eastAsia="仿宋" w:cs="Times New Roman"/>
          <w:b/>
          <w:sz w:val="32"/>
          <w:szCs w:val="32"/>
        </w:rPr>
        <w:t>（一）</w:t>
      </w:r>
      <w:bookmarkEnd w:id="282"/>
      <w:bookmarkEnd w:id="283"/>
      <w:r>
        <w:rPr>
          <w:rFonts w:hint="eastAsia" w:ascii="仿宋" w:hAnsi="仿宋" w:eastAsia="仿宋" w:cs="Times New Roman"/>
          <w:b/>
          <w:sz w:val="32"/>
          <w:szCs w:val="32"/>
        </w:rPr>
        <w:t>加强组织领导</w:t>
      </w:r>
      <w:bookmarkEnd w:id="284"/>
      <w:bookmarkEnd w:id="285"/>
      <w:bookmarkEnd w:id="286"/>
      <w:bookmarkEnd w:id="287"/>
      <w:bookmarkEnd w:id="288"/>
      <w:bookmarkEnd w:id="289"/>
    </w:p>
    <w:p w14:paraId="600C1876">
      <w:pPr>
        <w:adjustRightInd w:val="0"/>
        <w:snapToGrid w:val="0"/>
        <w:spacing w:line="360" w:lineRule="auto"/>
        <w:ind w:firstLine="640" w:firstLineChars="200"/>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把卫生健康事业发展纳入国民经济和社会发展全局，摆在优先发展的战略地位。强化各级党委全面推进健康林芝建设的领导责任和各级政府主体责任，定期研究解决规划实施中的重大政策、工程和跨部门协调问题。将主要健康指标、重大疾病防控和突发公共卫生事件应对等纳入考核指标。各县区（市）卫生健康行政部门要结合实际，抓好“十五五”卫生健康事业发展规划的落实，推动事业高质量发展。</w:t>
      </w:r>
    </w:p>
    <w:p w14:paraId="0E0BA833">
      <w:pPr>
        <w:keepNext/>
        <w:keepLines/>
        <w:autoSpaceDE w:val="0"/>
        <w:autoSpaceDN w:val="0"/>
        <w:spacing w:before="156" w:beforeLines="50" w:line="360" w:lineRule="auto"/>
        <w:ind w:firstLine="643" w:firstLineChars="200"/>
        <w:outlineLvl w:val="1"/>
        <w:rPr>
          <w:rFonts w:ascii="仿宋" w:hAnsi="仿宋" w:eastAsia="仿宋" w:cs="Times New Roman"/>
          <w:b/>
          <w:sz w:val="32"/>
          <w:szCs w:val="32"/>
        </w:rPr>
      </w:pPr>
      <w:bookmarkStart w:id="290" w:name="_Toc224128946"/>
      <w:bookmarkStart w:id="291" w:name="_Toc225259901"/>
      <w:bookmarkStart w:id="292" w:name="_Toc237847452"/>
      <w:bookmarkStart w:id="293" w:name="_Toc229475512"/>
      <w:bookmarkStart w:id="294" w:name="_Toc235857889"/>
      <w:bookmarkStart w:id="295" w:name="_Toc674869243"/>
      <w:bookmarkStart w:id="296" w:name="_Toc225367713"/>
      <w:bookmarkStart w:id="297" w:name="_Toc225259830"/>
      <w:r>
        <w:rPr>
          <w:rFonts w:hint="eastAsia" w:ascii="仿宋" w:hAnsi="仿宋" w:eastAsia="仿宋" w:cs="Times New Roman"/>
          <w:b/>
          <w:sz w:val="32"/>
          <w:szCs w:val="32"/>
        </w:rPr>
        <w:t>（二）完善支撑保障</w:t>
      </w:r>
      <w:bookmarkEnd w:id="290"/>
      <w:bookmarkEnd w:id="291"/>
      <w:bookmarkEnd w:id="292"/>
      <w:bookmarkEnd w:id="293"/>
      <w:bookmarkEnd w:id="294"/>
      <w:bookmarkEnd w:id="295"/>
      <w:bookmarkEnd w:id="296"/>
      <w:bookmarkEnd w:id="297"/>
    </w:p>
    <w:p w14:paraId="22BEF34F">
      <w:pPr>
        <w:adjustRightInd w:val="0"/>
        <w:snapToGrid w:val="0"/>
        <w:spacing w:line="360" w:lineRule="auto"/>
        <w:ind w:firstLine="640" w:firstLineChars="200"/>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健全完善健康优先发展的制度保障体系，全面贯彻落实中央、自治区、市系列促进卫生健康事业高质量发展的政策举措。深化人事分配制度、财政补偿机制等关键领域改革，建立健全与卫生健康事业高质量发展相适应的运行新机制。经济社会发展规划凸显健康核心指标，公共政策制定实施</w:t>
      </w:r>
      <w:r>
        <w:rPr>
          <w:rFonts w:hint="eastAsia" w:ascii="仿宋" w:hAnsi="仿宋" w:eastAsia="仿宋" w:cs="宋体"/>
          <w:snapToGrid w:val="0"/>
          <w:kern w:val="0"/>
          <w:sz w:val="32"/>
          <w:szCs w:val="32"/>
        </w:rPr>
        <w:t>强化健康倾斜导向，公</w:t>
      </w:r>
      <w:r>
        <w:rPr>
          <w:rFonts w:hint="eastAsia" w:ascii="仿宋" w:hAnsi="仿宋" w:eastAsia="仿宋" w:cs="宋体"/>
          <w:snapToGrid w:val="0"/>
          <w:color w:val="000000"/>
          <w:kern w:val="0"/>
          <w:sz w:val="32"/>
          <w:szCs w:val="32"/>
        </w:rPr>
        <w:t>共资源配置优先保障卫生事业发展需求。</w:t>
      </w:r>
    </w:p>
    <w:p w14:paraId="06C259A2">
      <w:pPr>
        <w:adjustRightInd w:val="0"/>
        <w:snapToGrid w:val="0"/>
        <w:spacing w:line="360" w:lineRule="auto"/>
        <w:ind w:firstLine="640" w:firstLineChars="200"/>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建立稳定可持续的卫生健康投入机制，完善卫生健康公共财政保障体系。强化卫生健康投入，完善财政投入结构，加强对公立医院、基层医疗卫生机构、卫生人才队伍建设等方面的支持，确保公共卫生、基层服务机构和公立医院补助经费落实到位。积极争取国家和自治区的专项转移支付资金，高效承接对口援藏资源，加强资金监督管理。强化财务管理和会计核算，完善全过程预算管理，提高资金使用效率。</w:t>
      </w:r>
    </w:p>
    <w:p w14:paraId="2A426C98">
      <w:pPr>
        <w:keepNext/>
        <w:keepLines/>
        <w:autoSpaceDE w:val="0"/>
        <w:autoSpaceDN w:val="0"/>
        <w:spacing w:before="156" w:beforeLines="50" w:line="360" w:lineRule="auto"/>
        <w:ind w:firstLine="643" w:firstLineChars="200"/>
        <w:outlineLvl w:val="1"/>
        <w:rPr>
          <w:rFonts w:ascii="仿宋" w:hAnsi="仿宋" w:eastAsia="仿宋" w:cs="Times New Roman"/>
          <w:b/>
          <w:sz w:val="32"/>
          <w:szCs w:val="32"/>
        </w:rPr>
      </w:pPr>
      <w:bookmarkStart w:id="298" w:name="_Toc1666227294"/>
      <w:bookmarkStart w:id="299" w:name="_Toc224128947"/>
      <w:bookmarkStart w:id="300" w:name="_Toc225259902"/>
      <w:bookmarkStart w:id="301" w:name="_Toc237847453"/>
      <w:bookmarkStart w:id="302" w:name="_Toc235857890"/>
      <w:bookmarkStart w:id="303" w:name="_Toc229475513"/>
      <w:bookmarkStart w:id="304" w:name="_Toc225367714"/>
      <w:bookmarkStart w:id="305" w:name="_Toc225259831"/>
      <w:r>
        <w:rPr>
          <w:rFonts w:hint="eastAsia" w:ascii="仿宋" w:hAnsi="仿宋" w:eastAsia="仿宋" w:cs="Times New Roman"/>
          <w:b/>
          <w:sz w:val="32"/>
          <w:szCs w:val="32"/>
        </w:rPr>
        <w:t>（三）</w:t>
      </w:r>
      <w:bookmarkEnd w:id="298"/>
      <w:bookmarkEnd w:id="299"/>
      <w:r>
        <w:rPr>
          <w:rFonts w:hint="eastAsia" w:ascii="仿宋" w:hAnsi="仿宋" w:eastAsia="仿宋" w:cs="Times New Roman"/>
          <w:b/>
          <w:sz w:val="32"/>
          <w:szCs w:val="32"/>
        </w:rPr>
        <w:t>加强监测评估</w:t>
      </w:r>
      <w:bookmarkEnd w:id="300"/>
      <w:bookmarkEnd w:id="301"/>
      <w:bookmarkEnd w:id="302"/>
      <w:bookmarkEnd w:id="303"/>
      <w:bookmarkEnd w:id="304"/>
      <w:bookmarkEnd w:id="305"/>
    </w:p>
    <w:p w14:paraId="68D7D49E">
      <w:pPr>
        <w:adjustRightInd w:val="0"/>
        <w:snapToGrid w:val="0"/>
        <w:spacing w:line="360" w:lineRule="auto"/>
        <w:ind w:firstLine="640" w:firstLineChars="200"/>
        <w:rPr>
          <w:rFonts w:ascii="Times New Roman" w:hAnsi="Times New Roman" w:eastAsia="宋体" w:cs="Times New Roman"/>
          <w:sz w:val="24"/>
          <w:szCs w:val="24"/>
        </w:rPr>
      </w:pPr>
      <w:r>
        <w:rPr>
          <w:rFonts w:hint="eastAsia" w:ascii="仿宋" w:hAnsi="仿宋" w:eastAsia="仿宋" w:cs="宋体"/>
          <w:snapToGrid w:val="0"/>
          <w:color w:val="000000"/>
          <w:kern w:val="0"/>
          <w:sz w:val="32"/>
          <w:szCs w:val="32"/>
        </w:rPr>
        <w:t>充分发挥评价评估和专家智库作用，鼓励社会参与，建立常态化的规划监测评估机制及重大项目全周期动态监测和规划执行效果评估。确定任务分工方案和监测评估方案，并对实施进度进行监测和评估，适时对目标任务进行必要调整。完善规划实施反馈与调整机制，将监测评估结果作为改进部门工作评估的重要依据，增强规划执行力。对实施中好的做法和有效经验，要及时总结，积极推广。</w:t>
      </w:r>
      <w:bookmarkEnd w:id="281"/>
    </w:p>
    <w:p w14:paraId="38D8862C"/>
    <w:sectPr>
      <w:footerReference r:id="rId9" w:type="default"/>
      <w:pgSz w:w="11906" w:h="16838"/>
      <w:pgMar w:top="1440" w:right="1440" w:bottom="1440" w:left="144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
    <w:altName w:val="XcGJSymbol"/>
    <w:panose1 w:val="00000000000000000000"/>
    <w:charset w:val="00"/>
    <w:family w:val="auto"/>
    <w:pitch w:val="default"/>
    <w:sig w:usb0="00000000" w:usb1="00000000" w:usb2="00000000" w:usb3="00000000" w:csb0="00000001" w:csb1="00000000"/>
  </w:font>
  <w:font w:name="XcGJSymbol">
    <w:panose1 w:val="02000500000000000000"/>
    <w:charset w:val="00"/>
    <w:family w:val="auto"/>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方正仿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imes New Roman Regular">
    <w:altName w:val="Times New Roman"/>
    <w:panose1 w:val="00000000000000000000"/>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D81EC">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744C1">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1B716">
    <w:pPr>
      <w:pStyle w:val="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2911452"/>
      <w:docPartObj>
        <w:docPartGallery w:val="autotext"/>
      </w:docPartObj>
    </w:sdtPr>
    <w:sdtContent>
      <w:p w14:paraId="2754B96A">
        <w:pPr>
          <w:pStyle w:val="2"/>
          <w:ind w:firstLine="360"/>
          <w:jc w:val="center"/>
        </w:pPr>
        <w:r>
          <w:fldChar w:fldCharType="begin"/>
        </w:r>
        <w:r>
          <w:instrText xml:space="preserve">PAGE   \* MERGEFORMAT</w:instrText>
        </w:r>
        <w:r>
          <w:fldChar w:fldCharType="separate"/>
        </w:r>
        <w:r>
          <w:rPr>
            <w:lang w:val="zh-CN"/>
          </w:rPr>
          <w:t>57</w:t>
        </w:r>
        <w:r>
          <w:fldChar w:fldCharType="end"/>
        </w:r>
      </w:p>
    </w:sdtContent>
  </w:sdt>
  <w:p w14:paraId="0E5F5817">
    <w:pPr>
      <w:pStyle w:val="2"/>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392EE">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D2B1A">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55888">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5AB"/>
    <w:rsid w:val="00130760"/>
    <w:rsid w:val="001D6652"/>
    <w:rsid w:val="001E784A"/>
    <w:rsid w:val="002448A9"/>
    <w:rsid w:val="002935A2"/>
    <w:rsid w:val="00355BD4"/>
    <w:rsid w:val="003B07FA"/>
    <w:rsid w:val="004F13B1"/>
    <w:rsid w:val="005043E3"/>
    <w:rsid w:val="005125AB"/>
    <w:rsid w:val="006E0E53"/>
    <w:rsid w:val="007E6047"/>
    <w:rsid w:val="0081644B"/>
    <w:rsid w:val="008A6A96"/>
    <w:rsid w:val="0095501B"/>
    <w:rsid w:val="00A02A13"/>
    <w:rsid w:val="00A253AD"/>
    <w:rsid w:val="00A32048"/>
    <w:rsid w:val="00A67A53"/>
    <w:rsid w:val="00C84A5F"/>
    <w:rsid w:val="00D9696D"/>
    <w:rsid w:val="00DD182A"/>
    <w:rsid w:val="00E303FA"/>
    <w:rsid w:val="1A4A1071"/>
    <w:rsid w:val="5B3C5FDB"/>
    <w:rsid w:val="7F562A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autoSpaceDE w:val="0"/>
      <w:autoSpaceDN w:val="0"/>
      <w:snapToGrid w:val="0"/>
      <w:ind w:firstLine="640" w:firstLineChars="200"/>
      <w:jc w:val="left"/>
    </w:pPr>
    <w:rPr>
      <w:rFonts w:ascii="Times New Roman" w:hAnsi="Times New Roman" w:eastAsia="宋体" w:cs="Times New Roman"/>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autoSpaceDE w:val="0"/>
      <w:autoSpaceDN w:val="0"/>
      <w:snapToGrid w:val="0"/>
      <w:ind w:firstLine="640" w:firstLineChars="200"/>
      <w:jc w:val="center"/>
    </w:pPr>
    <w:rPr>
      <w:rFonts w:ascii="Times New Roman" w:hAnsi="Times New Roman" w:eastAsia="宋体" w:cs="Times New Roman"/>
      <w:sz w:val="18"/>
      <w:szCs w:val="18"/>
    </w:rPr>
  </w:style>
  <w:style w:type="paragraph" w:styleId="4">
    <w:name w:val="toc 1"/>
    <w:basedOn w:val="1"/>
    <w:next w:val="1"/>
    <w:autoRedefine/>
    <w:unhideWhenUsed/>
    <w:uiPriority w:val="39"/>
    <w:pPr>
      <w:tabs>
        <w:tab w:val="right" w:leader="dot" w:pos="9016"/>
      </w:tabs>
      <w:jc w:val="center"/>
    </w:pPr>
    <w:rPr>
      <w:rFonts w:ascii="黑体" w:hAnsi="黑体" w:eastAsia="黑体"/>
      <w:b/>
      <w:sz w:val="30"/>
      <w:szCs w:val="30"/>
    </w:rPr>
  </w:style>
  <w:style w:type="paragraph" w:styleId="5">
    <w:name w:val="toc 2"/>
    <w:basedOn w:val="1"/>
    <w:next w:val="1"/>
    <w:autoRedefine/>
    <w:unhideWhenUsed/>
    <w:uiPriority w:val="39"/>
    <w:pPr>
      <w:ind w:left="420" w:leftChars="200"/>
    </w:pPr>
  </w:style>
  <w:style w:type="character" w:styleId="8">
    <w:name w:val="Hyperlink"/>
    <w:basedOn w:val="7"/>
    <w:unhideWhenUsed/>
    <w:uiPriority w:val="99"/>
    <w:rPr>
      <w:color w:val="0000FF" w:themeColor="hyperlink"/>
      <w:u w:val="single"/>
      <w14:textFill>
        <w14:solidFill>
          <w14:schemeClr w14:val="hlink"/>
        </w14:solidFill>
      </w14:textFill>
    </w:rPr>
  </w:style>
  <w:style w:type="character" w:customStyle="1" w:styleId="9">
    <w:name w:val="页脚 Char"/>
    <w:basedOn w:val="7"/>
    <w:link w:val="2"/>
    <w:qFormat/>
    <w:uiPriority w:val="99"/>
    <w:rPr>
      <w:rFonts w:ascii="Times New Roman" w:hAnsi="Times New Roman" w:eastAsia="宋体" w:cs="Times New Roman"/>
      <w:sz w:val="18"/>
      <w:szCs w:val="18"/>
    </w:rPr>
  </w:style>
  <w:style w:type="character" w:customStyle="1" w:styleId="10">
    <w:name w:val="页眉 Char"/>
    <w:basedOn w:val="7"/>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ECCE3-0149-4F9D-A5E3-BF5943F7DBA2}">
  <ds:schemaRefs/>
</ds:datastoreItem>
</file>

<file path=docProps/app.xml><?xml version="1.0" encoding="utf-8"?>
<Properties xmlns="http://schemas.openxmlformats.org/officeDocument/2006/extended-properties" xmlns:vt="http://schemas.openxmlformats.org/officeDocument/2006/docPropsVTypes">
  <Template>Normal</Template>
  <Pages>61</Pages>
  <Words>8216</Words>
  <Characters>8455</Characters>
  <Lines>253</Lines>
  <Paragraphs>71</Paragraphs>
  <TotalTime>124</TotalTime>
  <ScaleCrop>false</ScaleCrop>
  <LinksUpToDate>false</LinksUpToDate>
  <CharactersWithSpaces>8502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2026-08-17T01:52:00Z</dcterms:created>
  <dc:creator>lizhiyue1</dc:creator>
  <cp:lastModifiedBy>杨凡</cp:lastModifiedBy>
  <dcterms:modified xsi:type="dcterms:W3CDTF">2026-08-19T07:50:27Z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eyJoZGlkIjoiOTdkYjkxN2NkNDVmMjgyZDYzYmQwMDNkZjFmOGMzMTEiLCJ1c2VySWQiOiIzNTA4MzUwODMifQ==</vt:lpwstr>
  </property>
  <property fmtid="{D5CDD505-2E9C-101B-9397-08002B2CF9AE}" pid="3" name="KSOProductBuildVer">
    <vt:lpwstr>2052-12.1.0.28043</vt:lpwstr>
  </property>
  <property fmtid="{D5CDD505-2E9C-101B-9397-08002B2CF9AE}" pid="4" name="ICV">
    <vt:lpwstr>B8CABF6EFDFF4EBF9CB936426D75C80C_12</vt:lpwstr>
  </property>
</Properties>
</file>