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林芝市卫生健康委员会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根据《中华人民共和国政府信息公开条例》（国务院令第711号）和《国务院办公厅政府信息与政务公开办公室关于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&lt;中华人民共和国政府信息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公开工作年度报告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国办公开办函〔20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要求，现公布林芝市卫生健康委员会202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报告电子版可在林芝市卫生健康委官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（http：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/www.wjw.linzhi.gov.cn/lzswswyh/nav＿list.shtml）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公众如需进一步咨询了解相关信息，请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林芝市卫生健康委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（联系电话：5822052，地址：西藏自治区林芝市巴宜区奇正路4号，邮编860000）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委始终坚持将政府信息工作作为重点工作，成立了政府信息公开工作领导小组，领导小组办公室设在委办公室，承办政府信息公开的信息收集、整理、送审、主动公开等工作，同时明确了信息发布员，负责日常工作。2022年度规范、行政规范性文件本年制发0件，废止0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本年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行政处罚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决定数量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2件，2022年度无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行政事业性收费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门户网站信息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林芝市卫生健康委</w:t>
      </w:r>
      <w:r>
        <w:rPr>
          <w:rFonts w:hint="eastAsia" w:ascii="仿宋_GB2312" w:hAnsi="仿宋_GB2312" w:eastAsia="仿宋_GB2312" w:cs="仿宋_GB2312"/>
          <w:sz w:val="32"/>
          <w:szCs w:val="32"/>
        </w:rPr>
        <w:t>门户网站共发布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新冠肺炎疫情防控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文件、政策、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公共卫生知识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康咨询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900余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，政策解读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就卫生相关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征集意见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次，政民互动留言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新冠肺炎疫情防控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工作，进一步加大对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新冠肺炎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疫情防控等工作的解读力度。丰富解读形式，多渠道多形式进行精准解读。在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林芝卫生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微信公众号推送日常防疫指引，强化公众疫情防控意识。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回应网络舆论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年我委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收到2项依申请公开，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 w:eastAsia="zh-CN"/>
        </w:rPr>
        <w:t>为保护保护第三方合法权益，不予公开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制度建设。根据《中华人民共和国政府信息公开条例》，完善《林芝市卫生健康委信息公开指南》。全面覆盖权力运行过程和管理服务流程。畅通政民互动渠道。坚持以便民、利民为工作导向，分别在委门户网站和微信公众号开设留言，最大限度畅通互动渠道，解决市民诉求。设专人负责定时查收咨询网民留言，第一时间予以研究确认，在规定时间内答复，确保及时有效解决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政府网站集约化。按照全市统一部署，推进政府网站集约化建设，配合市政府，进一步整合现有政府网站，优化子站及栏目的设置，增强政府网站政务公开、公共服务能力。深化新媒体应用，运用林芝卫生公众号新媒体积极发声，有效地与传统媒体形成合力，提升卫生健康领域影响力，安排专人负责网站运行工作，积极回应社会关切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640" w:leftChars="0" w:firstLine="0" w:firstLineChars="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存在问题：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</w:rPr>
        <w:t>公开时效性较差、主动公开意识不强。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</w:rPr>
        <w:t>改进措施：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我委将继续贯彻落实市委市政府和西藏自治区卫生健康委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信息公开工作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进一步加强信息公开工作力度，严格按规定做好信息公开工作，做到及时有效公开，不断提高信息公开意识和服务意识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加大主动公开力度和开展标准化规范化建设。全面推进决策、执行、管理、服务和结果公开，加强政府网站和新媒体等公开渠道建设，不断推进卫生健康领域政务公开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无其它需要报告事项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林芝市卫生健康委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                       2023年1月28日</w:t>
      </w:r>
    </w:p>
    <w:sectPr>
      <w:footerReference r:id="rId3" w:type="default"/>
      <w:pgSz w:w="12240" w:h="15840"/>
      <w:pgMar w:top="2098" w:right="1474" w:bottom="1984" w:left="1587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27AE"/>
    <w:multiLevelType w:val="singleLevel"/>
    <w:tmpl w:val="FFF627AE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489"/>
    <w:rsid w:val="0007410F"/>
    <w:rsid w:val="000A3489"/>
    <w:rsid w:val="0024791F"/>
    <w:rsid w:val="00250307"/>
    <w:rsid w:val="00270335"/>
    <w:rsid w:val="002A4709"/>
    <w:rsid w:val="003200EE"/>
    <w:rsid w:val="003532A0"/>
    <w:rsid w:val="003D0874"/>
    <w:rsid w:val="00450149"/>
    <w:rsid w:val="00464416"/>
    <w:rsid w:val="00464706"/>
    <w:rsid w:val="0054624C"/>
    <w:rsid w:val="005C3DBC"/>
    <w:rsid w:val="005E03FF"/>
    <w:rsid w:val="006D7B6A"/>
    <w:rsid w:val="00761FF8"/>
    <w:rsid w:val="007E27C8"/>
    <w:rsid w:val="0080106B"/>
    <w:rsid w:val="008074B0"/>
    <w:rsid w:val="00826AC0"/>
    <w:rsid w:val="00990D32"/>
    <w:rsid w:val="009A6149"/>
    <w:rsid w:val="009B6158"/>
    <w:rsid w:val="00A036C6"/>
    <w:rsid w:val="00A1064F"/>
    <w:rsid w:val="00A14C14"/>
    <w:rsid w:val="00A40815"/>
    <w:rsid w:val="00A60998"/>
    <w:rsid w:val="00B03F74"/>
    <w:rsid w:val="00BF0707"/>
    <w:rsid w:val="00C26332"/>
    <w:rsid w:val="00C87155"/>
    <w:rsid w:val="00C91BAD"/>
    <w:rsid w:val="00D32809"/>
    <w:rsid w:val="00D459B8"/>
    <w:rsid w:val="00D80063"/>
    <w:rsid w:val="00DA5A00"/>
    <w:rsid w:val="00DB2920"/>
    <w:rsid w:val="00E46A9E"/>
    <w:rsid w:val="00E77B19"/>
    <w:rsid w:val="00EA1B42"/>
    <w:rsid w:val="00F13384"/>
    <w:rsid w:val="00F346C6"/>
    <w:rsid w:val="1FDF1505"/>
    <w:rsid w:val="21DFD628"/>
    <w:rsid w:val="2DFB5F9C"/>
    <w:rsid w:val="4AA12483"/>
    <w:rsid w:val="4FEFDDD3"/>
    <w:rsid w:val="6BEDE5A2"/>
    <w:rsid w:val="75DDB996"/>
    <w:rsid w:val="76124028"/>
    <w:rsid w:val="77DB6A05"/>
    <w:rsid w:val="7EFFEDFB"/>
    <w:rsid w:val="A1EFB622"/>
    <w:rsid w:val="D354EB64"/>
    <w:rsid w:val="D3E69587"/>
    <w:rsid w:val="DFF628C3"/>
    <w:rsid w:val="DFFD9CE7"/>
    <w:rsid w:val="EFB7F919"/>
    <w:rsid w:val="EFED5C6B"/>
    <w:rsid w:val="F47A9426"/>
    <w:rsid w:val="F56ED8AA"/>
    <w:rsid w:val="FB7FDBDD"/>
    <w:rsid w:val="FBF10414"/>
    <w:rsid w:val="FC97A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semiHidden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2395</Characters>
  <Lines>19</Lines>
  <Paragraphs>5</Paragraphs>
  <TotalTime>1781</TotalTime>
  <ScaleCrop>false</ScaleCrop>
  <LinksUpToDate>false</LinksUpToDate>
  <CharactersWithSpaces>2810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2021-01-08T02:35:00Z</dcterms:created>
  <dc:creator>Administrator</dc:creator>
  <cp:lastModifiedBy>user</cp:lastModifiedBy>
  <cp:lastPrinted>2023-01-28T20:37:00Z</cp:lastPrinted>
  <dcterms:modified xsi:type="dcterms:W3CDTF">2023-01-30T15:53:34Z</dcterms:modified>
  <dc:title>XXX2020年政府信息公开工作年度报告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